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jc w:val="center"/>
      </w:pPr>
      <w:r>
        <w:rPr>
          <w:rFonts w:ascii="Arial" w:hAnsi="Arial"/>
          <w:b/>
          <w:i w:val="0"/>
          <w:color w:val="1F4E79"/>
          <w:sz w:val="34"/>
        </w:rPr>
        <w:t>ĐỀ XUẤT THIẾT KẾ HỆ THỐNG DỰ BÁO S2S HEATWAVE/EHDE</w:t>
        <w:br/>
        <w:t>THEO PHƯƠNG PHÁP HYBRID DYNAMICAL–AI</w:t>
      </w:r>
    </w:p>
    <w:p>
      <w:pPr>
        <w:spacing w:after="60"/>
        <w:jc w:val="center"/>
      </w:pPr>
      <w:r>
        <w:rPr>
          <w:rFonts w:ascii="Arial" w:hAnsi="Arial"/>
          <w:b w:val="0"/>
          <w:i/>
          <w:color w:val="464646"/>
          <w:sz w:val="23"/>
        </w:rPr>
        <w:t>Tóm lược lựa chọn AI models, predictors, lead time, sub-regions và seasonality</w:t>
      </w:r>
    </w:p>
    <w:p>
      <w:pPr>
        <w:spacing w:after="220"/>
        <w:jc w:val="center"/>
      </w:pPr>
      <w:r>
        <w:rPr>
          <w:rFonts w:ascii="Arial" w:hAnsi="Arial"/>
          <w:b w:val="0"/>
          <w:i w:val="0"/>
          <w:color w:val="646464"/>
          <w:sz w:val="18"/>
        </w:rPr>
        <w:t>Technical note — 20 September 2026</w:t>
      </w:r>
    </w:p>
    <w:tbl>
      <w:tblPr>
        <w:tblStyle w:val="TableGrid"/>
        <w:tblW w:type="auto" w:w="0"/>
        <w:jc w:val="center"/>
        <w:tblLook w:firstColumn="1" w:firstRow="1" w:lastColumn="0" w:lastRow="0" w:noHBand="0" w:noVBand="1" w:val="04A0"/>
      </w:tblPr>
      <w:tblGrid>
        <w:gridCol w:w="9866"/>
      </w:tblGrid>
      <w:tr>
        <w:tc>
          <w:tcPr>
            <w:tcW w:type="dxa" w:w="9866"/>
            <w:shd w:fill="EEF5FB"/>
            <w:tcMar>
              <w:top w:w="120" w:type="dxa"/>
              <w:start w:w="140" w:type="dxa"/>
              <w:bottom w:w="120" w:type="dxa"/>
              <w:end w:w="140" w:type="dxa"/>
            </w:tcMar>
          </w:tcPr>
          <w:p>
            <w:r>
              <w:rPr>
                <w:rFonts w:ascii="Arial" w:hAnsi="Arial"/>
                <w:b/>
                <w:i w:val="0"/>
                <w:color w:val="1F4E79"/>
                <w:sz w:val="22"/>
              </w:rPr>
              <w:t>Khuyến nghị cốt lõi</w:t>
            </w:r>
          </w:p>
          <w:p>
            <w:pPr>
              <w:pStyle w:val="ListBullet"/>
              <w:spacing w:after="40"/>
            </w:pPr>
            <w:r>
              <w:rPr>
                <w:rFonts w:ascii="Arial" w:hAnsi="Arial"/>
                <w:b w:val="0"/>
                <w:i w:val="0"/>
                <w:sz w:val="19"/>
              </w:rPr>
              <w:t>Không nên tìm một AI model duy nhất cho W1–W6. Nên duy trì một model pool đa dạng, nhưng huấn luyện/tuning theo lead time và chọn ensemble/stack riêng theo lead.</w:t>
            </w:r>
          </w:p>
          <w:p>
            <w:pPr>
              <w:pStyle w:val="ListBullet"/>
              <w:spacing w:after="40"/>
            </w:pPr>
            <w:r>
              <w:rPr>
                <w:rFonts w:ascii="Arial" w:hAnsi="Arial"/>
                <w:b w:val="0"/>
                <w:i w:val="0"/>
                <w:sz w:val="19"/>
              </w:rPr>
              <w:t>Predictors phải thay đổi theo lead: W1–W2 ưu tiên trạng thái khí quyển/bề mặt và dự báo cục bộ từ mô hình động lực; W3–W4 dùng hỗn hợp local + large-scale; W5–W6 ưu tiên SST, upper-level circulation, teleconnections, soil-moisture memory và ensemble statistics.</w:t>
            </w:r>
          </w:p>
          <w:p>
            <w:pPr>
              <w:pStyle w:val="ListBullet"/>
              <w:spacing w:after="40"/>
            </w:pPr>
            <w:r>
              <w:rPr>
                <w:rFonts w:ascii="Arial" w:hAnsi="Arial"/>
                <w:b w:val="0"/>
                <w:i w:val="0"/>
                <w:sz w:val="19"/>
              </w:rPr>
              <w:t>Đối với R1–R7, không nên ngay lập tức huấn luyện 7 hệ độc lập. Tốt hơn là national/shared model + region-aware features/heads + regional calibration; chỉ tách riêng vùng khi cross-validation chứng minh có lợi.</w:t>
            </w:r>
          </w:p>
          <w:p>
            <w:pPr>
              <w:pStyle w:val="ListBullet"/>
              <w:spacing w:after="40"/>
            </w:pPr>
            <w:r>
              <w:rPr>
                <w:rFonts w:ascii="Arial" w:hAnsi="Arial"/>
                <w:b w:val="0"/>
                <w:i w:val="0"/>
                <w:sz w:val="19"/>
              </w:rPr>
              <w:t>Nên làm hệ thống season-aware, nhưng không nhất thiết tách cứng DJF/MAM/JJA/SON. Với heatwave, nên định nghĩa mùa nóng/heatwave regime theo từng vùng dựa trên climatology và cơ chế vật lý.</w:t>
            </w:r>
          </w:p>
          <w:p>
            <w:pPr>
              <w:pStyle w:val="ListBullet"/>
              <w:spacing w:after="40"/>
            </w:pPr>
            <w:r>
              <w:rPr>
                <w:rFonts w:ascii="Arial" w:hAnsi="Arial"/>
                <w:b w:val="0"/>
                <w:i w:val="0"/>
                <w:sz w:val="19"/>
              </w:rPr>
              <w:t>Final product nên là xác suất P(EHDE), sau đó mới chuyển sang deterministic event bằng các threshold P0 và P_thres được tối ưu chỉ trên training/CV.</w:t>
            </w:r>
          </w:p>
        </w:tc>
      </w:tr>
    </w:tbl>
    <w:p/>
    <w:p>
      <w:pPr>
        <w:pStyle w:val="Heading1"/>
        <w:keepNext/>
        <w:spacing w:before="160" w:after="80"/>
      </w:pPr>
      <w:r>
        <w:rPr>
          <w:rFonts w:ascii="Arial" w:hAnsi="Arial"/>
          <w:b/>
          <w:i w:val="0"/>
          <w:color w:val="1F4E79"/>
          <w:sz w:val="28"/>
        </w:rPr>
        <w:t>1. Quan điểm thiết kế tổng thể</w:t>
      </w:r>
    </w:p>
    <w:p>
      <w:pPr>
        <w:spacing w:after="80" w:line="259" w:lineRule="auto"/>
      </w:pPr>
      <w:r>
        <w:rPr>
          <w:rFonts w:ascii="Arial" w:hAnsi="Arial"/>
          <w:b w:val="0"/>
          <w:i w:val="0"/>
          <w:sz w:val="21"/>
        </w:rPr>
        <w:t>Bài toán được xem là một hệ hybrid post-processing/forecasting: outputs từ dynamical models cung cấp trạng thái dự báo vật lý; AI học phần bias, nonlinear mapping, spatial/temporal dependence và event probability. Hướng này phù hợp với các kết quả S2S gần đây, trong đó post-processing/hybrid tiếp tục cho skill cạnh tranh hoặc vượt raw dynamical forecasts ở một số biến và lead [1–4].</w:t>
      </w:r>
    </w:p>
    <w:p>
      <w:pPr>
        <w:spacing w:after="80" w:line="259" w:lineRule="auto"/>
      </w:pPr>
      <w:r>
        <w:rPr>
          <w:rFonts w:ascii="Arial" w:hAnsi="Arial"/>
          <w:b w:val="0"/>
          <w:i w:val="0"/>
          <w:sz w:val="21"/>
        </w:rPr>
        <w:t>Một “AI member” nên được định nghĩa rộng hơn tên thuật toán: model family × configuration × predictor set × lead-time setup. Vì vậy hai cấu hình XGBoost khác predictor set hoặc hai ResU-Net khác spatial domain có thể được coi là các members khác nhau nếu chúng tạo error structure đủ khác biệt.</w:t>
      </w:r>
    </w:p>
    <w:p>
      <w:pPr>
        <w:pStyle w:val="Heading1"/>
        <w:keepNext/>
        <w:spacing w:before="160" w:after="80"/>
      </w:pPr>
      <w:r>
        <w:rPr>
          <w:rFonts w:ascii="Arial" w:hAnsi="Arial"/>
          <w:b/>
          <w:i w:val="0"/>
          <w:color w:val="1F4E79"/>
          <w:sz w:val="28"/>
        </w:rPr>
        <w:t>2. Model pool đề xuất nếu không giới hạn số họ mô hình</w:t>
      </w:r>
    </w:p>
    <w:tbl>
      <w:tblPr>
        <w:tblStyle w:val="TableGrid"/>
        <w:tblW w:type="auto" w:w="0"/>
        <w:jc w:val="center"/>
        <w:tblLook w:firstColumn="1" w:firstRow="1" w:lastColumn="0" w:lastRow="0" w:noHBand="0" w:noVBand="1" w:val="04A0"/>
      </w:tblPr>
      <w:tblGrid>
        <w:gridCol w:w="2466"/>
        <w:gridCol w:w="2466"/>
        <w:gridCol w:w="2466"/>
        <w:gridCol w:w="2466"/>
      </w:tblGrid>
      <w:tr>
        <w:trPr>
          <w:cantSplit w:val="true"/>
          <w:tblHeader w:val="true"/>
        </w:trPr>
        <w:tc>
          <w:tcPr>
            <w:tcW w:type="dxa" w:w="1757"/>
            <w:vAlign w:val="center"/>
            <w:tcMar>
              <w:top w:w="70" w:type="dxa"/>
              <w:start w:w="75" w:type="dxa"/>
              <w:bottom w:w="70" w:type="dxa"/>
              <w:end w:w="75" w:type="dxa"/>
            </w:tcMar>
            <w:shd w:fill="D9EAF7"/>
          </w:tcPr>
          <w:p>
            <w:pPr>
              <w:spacing w:after="0" w:line="240" w:lineRule="auto"/>
            </w:pPr>
            <w:r>
              <w:rPr>
                <w:rFonts w:ascii="Arial" w:hAnsi="Arial"/>
                <w:b/>
                <w:i w:val="0"/>
                <w:sz w:val="16"/>
              </w:rPr>
              <w:t>Nhóm</w:t>
            </w:r>
          </w:p>
        </w:tc>
        <w:tc>
          <w:tcPr>
            <w:tcW w:type="dxa" w:w="2381"/>
            <w:vAlign w:val="center"/>
            <w:tcMar>
              <w:top w:w="70" w:type="dxa"/>
              <w:start w:w="75" w:type="dxa"/>
              <w:bottom w:w="70" w:type="dxa"/>
              <w:end w:w="75" w:type="dxa"/>
            </w:tcMar>
            <w:shd w:fill="D9EAF7"/>
          </w:tcPr>
          <w:p>
            <w:pPr>
              <w:spacing w:after="0" w:line="240" w:lineRule="auto"/>
            </w:pPr>
            <w:r>
              <w:rPr>
                <w:rFonts w:ascii="Arial" w:hAnsi="Arial"/>
                <w:b/>
                <w:i w:val="0"/>
                <w:sz w:val="16"/>
              </w:rPr>
              <w:t>Model</w:t>
            </w:r>
          </w:p>
        </w:tc>
        <w:tc>
          <w:tcPr>
            <w:tcW w:type="dxa" w:w="1190"/>
            <w:vAlign w:val="center"/>
            <w:tcMar>
              <w:top w:w="70" w:type="dxa"/>
              <w:start w:w="75" w:type="dxa"/>
              <w:bottom w:w="70" w:type="dxa"/>
              <w:end w:w="75" w:type="dxa"/>
            </w:tcMar>
            <w:shd w:fill="D9EAF7"/>
          </w:tcPr>
          <w:p>
            <w:pPr>
              <w:spacing w:after="0" w:line="240" w:lineRule="auto"/>
            </w:pPr>
            <w:r>
              <w:rPr>
                <w:rFonts w:ascii="Arial" w:hAnsi="Arial"/>
                <w:b/>
                <w:i w:val="0"/>
                <w:sz w:val="16"/>
              </w:rPr>
              <w:t>Ưu tiên</w:t>
            </w:r>
          </w:p>
        </w:tc>
        <w:tc>
          <w:tcPr>
            <w:tcW w:type="dxa" w:w="4536"/>
            <w:vAlign w:val="center"/>
            <w:tcMar>
              <w:top w:w="70" w:type="dxa"/>
              <w:start w:w="75" w:type="dxa"/>
              <w:bottom w:w="70" w:type="dxa"/>
              <w:end w:w="75" w:type="dxa"/>
            </w:tcMar>
            <w:shd w:fill="D9EAF7"/>
          </w:tcPr>
          <w:p>
            <w:pPr>
              <w:spacing w:after="0" w:line="240" w:lineRule="auto"/>
            </w:pPr>
            <w:r>
              <w:rPr>
                <w:rFonts w:ascii="Arial" w:hAnsi="Arial"/>
                <w:b/>
                <w:i w:val="0"/>
                <w:sz w:val="16"/>
              </w:rPr>
              <w:t>Vai trò</w:t>
            </w:r>
          </w:p>
        </w:tc>
      </w:tr>
      <w:tr>
        <w:trPr>
          <w:cantSplit w:val="true"/>
        </w:trPr>
        <w:tc>
          <w:tcPr>
            <w:tcW w:type="dxa" w:w="1757"/>
            <w:vAlign w:val="center"/>
            <w:tcMar>
              <w:top w:w="70" w:type="dxa"/>
              <w:start w:w="75" w:type="dxa"/>
              <w:bottom w:w="70" w:type="dxa"/>
              <w:end w:w="75" w:type="dxa"/>
            </w:tcMar>
          </w:tcPr>
          <w:p>
            <w:pPr>
              <w:spacing w:after="0" w:line="240" w:lineRule="auto"/>
            </w:pPr>
            <w:r>
              <w:rPr>
                <w:rFonts w:ascii="Arial" w:hAnsi="Arial"/>
                <w:b w:val="0"/>
                <w:i w:val="0"/>
                <w:sz w:val="16"/>
              </w:rPr>
              <w:t>Linear baseline</w:t>
            </w:r>
          </w:p>
        </w:tc>
        <w:tc>
          <w:tcPr>
            <w:tcW w:type="dxa" w:w="2381"/>
            <w:vAlign w:val="center"/>
            <w:tcMar>
              <w:top w:w="70" w:type="dxa"/>
              <w:start w:w="75" w:type="dxa"/>
              <w:bottom w:w="70" w:type="dxa"/>
              <w:end w:w="75" w:type="dxa"/>
            </w:tcMar>
          </w:tcPr>
          <w:p>
            <w:pPr>
              <w:spacing w:after="0" w:line="240" w:lineRule="auto"/>
            </w:pPr>
            <w:r>
              <w:rPr>
                <w:rFonts w:ascii="Arial" w:hAnsi="Arial"/>
                <w:b w:val="0"/>
                <w:i w:val="0"/>
                <w:sz w:val="16"/>
              </w:rPr>
              <w:t>Logistic/Ridge/Elastic Net</w:t>
            </w:r>
          </w:p>
        </w:tc>
        <w:tc>
          <w:tcPr>
            <w:tcW w:type="dxa" w:w="1190"/>
            <w:vAlign w:val="center"/>
            <w:tcMar>
              <w:top w:w="70" w:type="dxa"/>
              <w:start w:w="75" w:type="dxa"/>
              <w:bottom w:w="70" w:type="dxa"/>
              <w:end w:w="75" w:type="dxa"/>
            </w:tcMar>
          </w:tcPr>
          <w:p>
            <w:pPr>
              <w:spacing w:after="0" w:line="240" w:lineRule="auto"/>
            </w:pPr>
            <w:r>
              <w:rPr>
                <w:rFonts w:ascii="Arial" w:hAnsi="Arial"/>
                <w:b w:val="0"/>
                <w:i w:val="0"/>
                <w:sz w:val="16"/>
              </w:rPr>
              <w:t>Cao</w:t>
            </w:r>
          </w:p>
        </w:tc>
        <w:tc>
          <w:tcPr>
            <w:tcW w:type="dxa" w:w="4536"/>
            <w:vAlign w:val="center"/>
            <w:tcMar>
              <w:top w:w="70" w:type="dxa"/>
              <w:start w:w="75" w:type="dxa"/>
              <w:bottom w:w="70" w:type="dxa"/>
              <w:end w:w="75" w:type="dxa"/>
            </w:tcMar>
          </w:tcPr>
          <w:p>
            <w:pPr>
              <w:spacing w:after="0" w:line="240" w:lineRule="auto"/>
            </w:pPr>
            <w:r>
              <w:rPr>
                <w:rFonts w:ascii="Arial" w:hAnsi="Arial"/>
                <w:b w:val="0"/>
                <w:i w:val="0"/>
                <w:sz w:val="16"/>
              </w:rPr>
              <w:t>Baseline bắt buộc; kiểm tra AI phức tạp có thực sự thêm skill.</w:t>
            </w:r>
          </w:p>
        </w:tc>
      </w:tr>
      <w:tr>
        <w:trPr>
          <w:cantSplit w:val="true"/>
        </w:trPr>
        <w:tc>
          <w:tcPr>
            <w:tcW w:type="dxa" w:w="1757"/>
            <w:vAlign w:val="center"/>
            <w:tcMar>
              <w:top w:w="70" w:type="dxa"/>
              <w:start w:w="75" w:type="dxa"/>
              <w:bottom w:w="70" w:type="dxa"/>
              <w:end w:w="75" w:type="dxa"/>
            </w:tcMar>
          </w:tcPr>
          <w:p>
            <w:pPr>
              <w:spacing w:after="0" w:line="240" w:lineRule="auto"/>
            </w:pPr>
            <w:r>
              <w:rPr>
                <w:rFonts w:ascii="Arial" w:hAnsi="Arial"/>
                <w:b w:val="0"/>
                <w:i w:val="0"/>
                <w:sz w:val="16"/>
              </w:rPr>
              <w:t>Tree ensemble</w:t>
            </w:r>
          </w:p>
        </w:tc>
        <w:tc>
          <w:tcPr>
            <w:tcW w:type="dxa" w:w="2381"/>
            <w:vAlign w:val="center"/>
            <w:tcMar>
              <w:top w:w="70" w:type="dxa"/>
              <w:start w:w="75" w:type="dxa"/>
              <w:bottom w:w="70" w:type="dxa"/>
              <w:end w:w="75" w:type="dxa"/>
            </w:tcMar>
          </w:tcPr>
          <w:p>
            <w:pPr>
              <w:spacing w:after="0" w:line="240" w:lineRule="auto"/>
            </w:pPr>
            <w:r>
              <w:rPr>
                <w:rFonts w:ascii="Arial" w:hAnsi="Arial"/>
                <w:b w:val="0"/>
                <w:i w:val="0"/>
                <w:sz w:val="16"/>
              </w:rPr>
              <w:t>Random Forest</w:t>
            </w:r>
          </w:p>
        </w:tc>
        <w:tc>
          <w:tcPr>
            <w:tcW w:type="dxa" w:w="1190"/>
            <w:vAlign w:val="center"/>
            <w:tcMar>
              <w:top w:w="70" w:type="dxa"/>
              <w:start w:w="75" w:type="dxa"/>
              <w:bottom w:w="70" w:type="dxa"/>
              <w:end w:w="75" w:type="dxa"/>
            </w:tcMar>
          </w:tcPr>
          <w:p>
            <w:pPr>
              <w:spacing w:after="0" w:line="240" w:lineRule="auto"/>
            </w:pPr>
            <w:r>
              <w:rPr>
                <w:rFonts w:ascii="Arial" w:hAnsi="Arial"/>
                <w:b w:val="0"/>
                <w:i w:val="0"/>
                <w:sz w:val="16"/>
              </w:rPr>
              <w:t>Trung bình</w:t>
            </w:r>
          </w:p>
        </w:tc>
        <w:tc>
          <w:tcPr>
            <w:tcW w:type="dxa" w:w="4536"/>
            <w:vAlign w:val="center"/>
            <w:tcMar>
              <w:top w:w="70" w:type="dxa"/>
              <w:start w:w="75" w:type="dxa"/>
              <w:bottom w:w="70" w:type="dxa"/>
              <w:end w:w="75" w:type="dxa"/>
            </w:tcMar>
          </w:tcPr>
          <w:p>
            <w:pPr>
              <w:spacing w:after="0" w:line="240" w:lineRule="auto"/>
            </w:pPr>
            <w:r>
              <w:rPr>
                <w:rFonts w:ascii="Arial" w:hAnsi="Arial"/>
                <w:b w:val="0"/>
                <w:i w:val="0"/>
                <w:sz w:val="16"/>
              </w:rPr>
              <w:t>Robust, dễ giải thích; thường kém boosting nhưng hữu ích cho diversity.</w:t>
            </w:r>
          </w:p>
        </w:tc>
      </w:tr>
      <w:tr>
        <w:trPr>
          <w:cantSplit w:val="true"/>
        </w:trPr>
        <w:tc>
          <w:tcPr>
            <w:tcW w:type="dxa" w:w="1757"/>
            <w:vAlign w:val="center"/>
            <w:tcMar>
              <w:top w:w="70" w:type="dxa"/>
              <w:start w:w="75" w:type="dxa"/>
              <w:bottom w:w="70" w:type="dxa"/>
              <w:end w:w="75" w:type="dxa"/>
            </w:tcMar>
          </w:tcPr>
          <w:p>
            <w:pPr>
              <w:spacing w:after="0" w:line="240" w:lineRule="auto"/>
            </w:pPr>
            <w:r>
              <w:rPr>
                <w:rFonts w:ascii="Arial" w:hAnsi="Arial"/>
                <w:b w:val="0"/>
                <w:i w:val="0"/>
                <w:sz w:val="16"/>
              </w:rPr>
              <w:t>Gradient boosting</w:t>
            </w:r>
          </w:p>
        </w:tc>
        <w:tc>
          <w:tcPr>
            <w:tcW w:type="dxa" w:w="2381"/>
            <w:vAlign w:val="center"/>
            <w:tcMar>
              <w:top w:w="70" w:type="dxa"/>
              <w:start w:w="75" w:type="dxa"/>
              <w:bottom w:w="70" w:type="dxa"/>
              <w:end w:w="75" w:type="dxa"/>
            </w:tcMar>
          </w:tcPr>
          <w:p>
            <w:pPr>
              <w:spacing w:after="0" w:line="240" w:lineRule="auto"/>
            </w:pPr>
            <w:r>
              <w:rPr>
                <w:rFonts w:ascii="Arial" w:hAnsi="Arial"/>
                <w:b w:val="0"/>
                <w:i w:val="0"/>
                <w:sz w:val="16"/>
              </w:rPr>
              <w:t>XGBoost</w:t>
            </w:r>
          </w:p>
        </w:tc>
        <w:tc>
          <w:tcPr>
            <w:tcW w:type="dxa" w:w="1190"/>
            <w:vAlign w:val="center"/>
            <w:tcMar>
              <w:top w:w="70" w:type="dxa"/>
              <w:start w:w="75" w:type="dxa"/>
              <w:bottom w:w="70" w:type="dxa"/>
              <w:end w:w="75" w:type="dxa"/>
            </w:tcMar>
          </w:tcPr>
          <w:p>
            <w:pPr>
              <w:spacing w:after="0" w:line="240" w:lineRule="auto"/>
            </w:pPr>
            <w:r>
              <w:rPr>
                <w:rFonts w:ascii="Arial" w:hAnsi="Arial"/>
                <w:b w:val="0"/>
                <w:i w:val="0"/>
                <w:sz w:val="16"/>
              </w:rPr>
              <w:t>Rất cao</w:t>
            </w:r>
          </w:p>
        </w:tc>
        <w:tc>
          <w:tcPr>
            <w:tcW w:type="dxa" w:w="4536"/>
            <w:vAlign w:val="center"/>
            <w:tcMar>
              <w:top w:w="70" w:type="dxa"/>
              <w:start w:w="75" w:type="dxa"/>
              <w:bottom w:w="70" w:type="dxa"/>
              <w:end w:w="75" w:type="dxa"/>
            </w:tcMar>
          </w:tcPr>
          <w:p>
            <w:pPr>
              <w:spacing w:after="0" w:line="240" w:lineRule="auto"/>
            </w:pPr>
            <w:r>
              <w:rPr>
                <w:rFonts w:ascii="Arial" w:hAnsi="Arial"/>
                <w:b w:val="0"/>
                <w:i w:val="0"/>
                <w:sz w:val="16"/>
              </w:rPr>
              <w:t>Mạnh với tabular predictors, sample vừa/nhỏ, nonlinear interactions.</w:t>
            </w:r>
          </w:p>
        </w:tc>
      </w:tr>
      <w:tr>
        <w:trPr>
          <w:cantSplit w:val="true"/>
        </w:trPr>
        <w:tc>
          <w:tcPr>
            <w:tcW w:type="dxa" w:w="1757"/>
            <w:vAlign w:val="center"/>
            <w:tcMar>
              <w:top w:w="70" w:type="dxa"/>
              <w:start w:w="75" w:type="dxa"/>
              <w:bottom w:w="70" w:type="dxa"/>
              <w:end w:w="75" w:type="dxa"/>
            </w:tcMar>
          </w:tcPr>
          <w:p>
            <w:pPr>
              <w:spacing w:after="0" w:line="240" w:lineRule="auto"/>
            </w:pPr>
            <w:r>
              <w:rPr>
                <w:rFonts w:ascii="Arial" w:hAnsi="Arial"/>
                <w:b w:val="0"/>
                <w:i w:val="0"/>
                <w:sz w:val="16"/>
              </w:rPr>
              <w:t>Gradient boosting</w:t>
            </w:r>
          </w:p>
        </w:tc>
        <w:tc>
          <w:tcPr>
            <w:tcW w:type="dxa" w:w="2381"/>
            <w:vAlign w:val="center"/>
            <w:tcMar>
              <w:top w:w="70" w:type="dxa"/>
              <w:start w:w="75" w:type="dxa"/>
              <w:bottom w:w="70" w:type="dxa"/>
              <w:end w:w="75" w:type="dxa"/>
            </w:tcMar>
          </w:tcPr>
          <w:p>
            <w:pPr>
              <w:spacing w:after="0" w:line="240" w:lineRule="auto"/>
            </w:pPr>
            <w:r>
              <w:rPr>
                <w:rFonts w:ascii="Arial" w:hAnsi="Arial"/>
                <w:b w:val="0"/>
                <w:i w:val="0"/>
                <w:sz w:val="16"/>
              </w:rPr>
              <w:t>LightGBM</w:t>
            </w:r>
          </w:p>
        </w:tc>
        <w:tc>
          <w:tcPr>
            <w:tcW w:type="dxa" w:w="1190"/>
            <w:vAlign w:val="center"/>
            <w:tcMar>
              <w:top w:w="70" w:type="dxa"/>
              <w:start w:w="75" w:type="dxa"/>
              <w:bottom w:w="70" w:type="dxa"/>
              <w:end w:w="75" w:type="dxa"/>
            </w:tcMar>
          </w:tcPr>
          <w:p>
            <w:pPr>
              <w:spacing w:after="0" w:line="240" w:lineRule="auto"/>
            </w:pPr>
            <w:r>
              <w:rPr>
                <w:rFonts w:ascii="Arial" w:hAnsi="Arial"/>
                <w:b w:val="0"/>
                <w:i w:val="0"/>
                <w:sz w:val="16"/>
              </w:rPr>
              <w:t>Cao</w:t>
            </w:r>
          </w:p>
        </w:tc>
        <w:tc>
          <w:tcPr>
            <w:tcW w:type="dxa" w:w="4536"/>
            <w:vAlign w:val="center"/>
            <w:tcMar>
              <w:top w:w="70" w:type="dxa"/>
              <w:start w:w="75" w:type="dxa"/>
              <w:bottom w:w="70" w:type="dxa"/>
              <w:end w:w="75" w:type="dxa"/>
            </w:tcMar>
          </w:tcPr>
          <w:p>
            <w:pPr>
              <w:spacing w:after="0" w:line="240" w:lineRule="auto"/>
            </w:pPr>
            <w:r>
              <w:rPr>
                <w:rFonts w:ascii="Arial" w:hAnsi="Arial"/>
                <w:b w:val="0"/>
                <w:i w:val="0"/>
                <w:sz w:val="16"/>
              </w:rPr>
              <w:t>Nhanh, hiệu quả khi predictor nhiều; challenger tốt cho XGBoost.</w:t>
            </w:r>
          </w:p>
        </w:tc>
      </w:tr>
      <w:tr>
        <w:trPr>
          <w:cantSplit w:val="true"/>
        </w:trPr>
        <w:tc>
          <w:tcPr>
            <w:tcW w:type="dxa" w:w="1757"/>
            <w:vAlign w:val="center"/>
            <w:tcMar>
              <w:top w:w="70" w:type="dxa"/>
              <w:start w:w="75" w:type="dxa"/>
              <w:bottom w:w="70" w:type="dxa"/>
              <w:end w:w="75" w:type="dxa"/>
            </w:tcMar>
          </w:tcPr>
          <w:p>
            <w:pPr>
              <w:spacing w:after="0" w:line="240" w:lineRule="auto"/>
            </w:pPr>
            <w:r>
              <w:rPr>
                <w:rFonts w:ascii="Arial" w:hAnsi="Arial"/>
                <w:b w:val="0"/>
                <w:i w:val="0"/>
                <w:sz w:val="16"/>
              </w:rPr>
              <w:t>Gradient boosting</w:t>
            </w:r>
          </w:p>
        </w:tc>
        <w:tc>
          <w:tcPr>
            <w:tcW w:type="dxa" w:w="2381"/>
            <w:vAlign w:val="center"/>
            <w:tcMar>
              <w:top w:w="70" w:type="dxa"/>
              <w:start w:w="75" w:type="dxa"/>
              <w:bottom w:w="70" w:type="dxa"/>
              <w:end w:w="75" w:type="dxa"/>
            </w:tcMar>
          </w:tcPr>
          <w:p>
            <w:pPr>
              <w:spacing w:after="0" w:line="240" w:lineRule="auto"/>
            </w:pPr>
            <w:r>
              <w:rPr>
                <w:rFonts w:ascii="Arial" w:hAnsi="Arial"/>
                <w:b w:val="0"/>
                <w:i w:val="0"/>
                <w:sz w:val="16"/>
              </w:rPr>
              <w:t>CatBoost</w:t>
            </w:r>
          </w:p>
        </w:tc>
        <w:tc>
          <w:tcPr>
            <w:tcW w:type="dxa" w:w="1190"/>
            <w:vAlign w:val="center"/>
            <w:tcMar>
              <w:top w:w="70" w:type="dxa"/>
              <w:start w:w="75" w:type="dxa"/>
              <w:bottom w:w="70" w:type="dxa"/>
              <w:end w:w="75" w:type="dxa"/>
            </w:tcMar>
          </w:tcPr>
          <w:p>
            <w:pPr>
              <w:spacing w:after="0" w:line="240" w:lineRule="auto"/>
            </w:pPr>
            <w:r>
              <w:rPr>
                <w:rFonts w:ascii="Arial" w:hAnsi="Arial"/>
                <w:b w:val="0"/>
                <w:i w:val="0"/>
                <w:sz w:val="16"/>
              </w:rPr>
              <w:t>Cao</w:t>
            </w:r>
          </w:p>
        </w:tc>
        <w:tc>
          <w:tcPr>
            <w:tcW w:type="dxa" w:w="4536"/>
            <w:vAlign w:val="center"/>
            <w:tcMar>
              <w:top w:w="70" w:type="dxa"/>
              <w:start w:w="75" w:type="dxa"/>
              <w:bottom w:w="70" w:type="dxa"/>
              <w:end w:w="75" w:type="dxa"/>
            </w:tcMar>
          </w:tcPr>
          <w:p>
            <w:pPr>
              <w:spacing w:after="0" w:line="240" w:lineRule="auto"/>
            </w:pPr>
            <w:r>
              <w:rPr>
                <w:rFonts w:ascii="Arial" w:hAnsi="Arial"/>
                <w:b w:val="0"/>
                <w:i w:val="0"/>
                <w:sz w:val="16"/>
              </w:rPr>
              <w:t>Regularization tốt, robust; đáng chạy song song XGBoost.</w:t>
            </w:r>
          </w:p>
        </w:tc>
      </w:tr>
      <w:tr>
        <w:trPr>
          <w:cantSplit w:val="true"/>
        </w:trPr>
        <w:tc>
          <w:tcPr>
            <w:tcW w:type="dxa" w:w="1757"/>
            <w:vAlign w:val="center"/>
            <w:tcMar>
              <w:top w:w="70" w:type="dxa"/>
              <w:start w:w="75" w:type="dxa"/>
              <w:bottom w:w="70" w:type="dxa"/>
              <w:end w:w="75" w:type="dxa"/>
            </w:tcMar>
          </w:tcPr>
          <w:p>
            <w:pPr>
              <w:spacing w:after="0" w:line="240" w:lineRule="auto"/>
            </w:pPr>
            <w:r>
              <w:rPr>
                <w:rFonts w:ascii="Arial" w:hAnsi="Arial"/>
                <w:b w:val="0"/>
                <w:i w:val="0"/>
                <w:sz w:val="16"/>
              </w:rPr>
              <w:t>Shallow NN</w:t>
            </w:r>
          </w:p>
        </w:tc>
        <w:tc>
          <w:tcPr>
            <w:tcW w:type="dxa" w:w="2381"/>
            <w:vAlign w:val="center"/>
            <w:tcMar>
              <w:top w:w="70" w:type="dxa"/>
              <w:start w:w="75" w:type="dxa"/>
              <w:bottom w:w="70" w:type="dxa"/>
              <w:end w:w="75" w:type="dxa"/>
            </w:tcMar>
          </w:tcPr>
          <w:p>
            <w:pPr>
              <w:spacing w:after="0" w:line="240" w:lineRule="auto"/>
            </w:pPr>
            <w:r>
              <w:rPr>
                <w:rFonts w:ascii="Arial" w:hAnsi="Arial"/>
                <w:b w:val="0"/>
                <w:i w:val="0"/>
                <w:sz w:val="16"/>
              </w:rPr>
              <w:t>MLP/ANN</w:t>
            </w:r>
          </w:p>
        </w:tc>
        <w:tc>
          <w:tcPr>
            <w:tcW w:type="dxa" w:w="1190"/>
            <w:vAlign w:val="center"/>
            <w:tcMar>
              <w:top w:w="70" w:type="dxa"/>
              <w:start w:w="75" w:type="dxa"/>
              <w:bottom w:w="70" w:type="dxa"/>
              <w:end w:w="75" w:type="dxa"/>
            </w:tcMar>
          </w:tcPr>
          <w:p>
            <w:pPr>
              <w:spacing w:after="0" w:line="240" w:lineRule="auto"/>
            </w:pPr>
            <w:r>
              <w:rPr>
                <w:rFonts w:ascii="Arial" w:hAnsi="Arial"/>
                <w:b w:val="0"/>
                <w:i w:val="0"/>
                <w:sz w:val="16"/>
              </w:rPr>
              <w:t>Cao</w:t>
            </w:r>
          </w:p>
        </w:tc>
        <w:tc>
          <w:tcPr>
            <w:tcW w:type="dxa" w:w="4536"/>
            <w:vAlign w:val="center"/>
            <w:tcMar>
              <w:top w:w="70" w:type="dxa"/>
              <w:start w:w="75" w:type="dxa"/>
              <w:bottom w:w="70" w:type="dxa"/>
              <w:end w:w="75" w:type="dxa"/>
            </w:tcMar>
          </w:tcPr>
          <w:p>
            <w:pPr>
              <w:spacing w:after="0" w:line="240" w:lineRule="auto"/>
            </w:pPr>
            <w:r>
              <w:rPr>
                <w:rFonts w:ascii="Arial" w:hAnsi="Arial"/>
                <w:b w:val="0"/>
                <w:i w:val="0"/>
                <w:sz w:val="16"/>
              </w:rPr>
              <w:t>Benchmark neural model đơn giản; hữu ích nếu predictors đã được thiết kế tốt.</w:t>
            </w:r>
          </w:p>
        </w:tc>
      </w:tr>
      <w:tr>
        <w:trPr>
          <w:cantSplit w:val="true"/>
        </w:trPr>
        <w:tc>
          <w:tcPr>
            <w:tcW w:type="dxa" w:w="1757"/>
            <w:vAlign w:val="center"/>
            <w:tcMar>
              <w:top w:w="70" w:type="dxa"/>
              <w:start w:w="75" w:type="dxa"/>
              <w:bottom w:w="70" w:type="dxa"/>
              <w:end w:w="75" w:type="dxa"/>
            </w:tcMar>
          </w:tcPr>
          <w:p>
            <w:pPr>
              <w:spacing w:after="0" w:line="240" w:lineRule="auto"/>
            </w:pPr>
            <w:r>
              <w:rPr>
                <w:rFonts w:ascii="Arial" w:hAnsi="Arial"/>
                <w:b w:val="0"/>
                <w:i w:val="0"/>
                <w:sz w:val="16"/>
              </w:rPr>
              <w:t>Spatial DL</w:t>
            </w:r>
          </w:p>
        </w:tc>
        <w:tc>
          <w:tcPr>
            <w:tcW w:type="dxa" w:w="2381"/>
            <w:vAlign w:val="center"/>
            <w:tcMar>
              <w:top w:w="70" w:type="dxa"/>
              <w:start w:w="75" w:type="dxa"/>
              <w:bottom w:w="70" w:type="dxa"/>
              <w:end w:w="75" w:type="dxa"/>
            </w:tcMar>
          </w:tcPr>
          <w:p>
            <w:pPr>
              <w:spacing w:after="0" w:line="240" w:lineRule="auto"/>
            </w:pPr>
            <w:r>
              <w:rPr>
                <w:rFonts w:ascii="Arial" w:hAnsi="Arial"/>
                <w:b w:val="0"/>
                <w:i w:val="0"/>
                <w:sz w:val="16"/>
              </w:rPr>
              <w:t>CNN</w:t>
            </w:r>
          </w:p>
        </w:tc>
        <w:tc>
          <w:tcPr>
            <w:tcW w:type="dxa" w:w="1190"/>
            <w:vAlign w:val="center"/>
            <w:tcMar>
              <w:top w:w="70" w:type="dxa"/>
              <w:start w:w="75" w:type="dxa"/>
              <w:bottom w:w="70" w:type="dxa"/>
              <w:end w:w="75" w:type="dxa"/>
            </w:tcMar>
          </w:tcPr>
          <w:p>
            <w:pPr>
              <w:spacing w:after="0" w:line="240" w:lineRule="auto"/>
            </w:pPr>
            <w:r>
              <w:rPr>
                <w:rFonts w:ascii="Arial" w:hAnsi="Arial"/>
                <w:b w:val="0"/>
                <w:i w:val="0"/>
                <w:sz w:val="16"/>
              </w:rPr>
              <w:t>Cao</w:t>
            </w:r>
          </w:p>
        </w:tc>
        <w:tc>
          <w:tcPr>
            <w:tcW w:type="dxa" w:w="4536"/>
            <w:vAlign w:val="center"/>
            <w:tcMar>
              <w:top w:w="70" w:type="dxa"/>
              <w:start w:w="75" w:type="dxa"/>
              <w:bottom w:w="70" w:type="dxa"/>
              <w:end w:w="75" w:type="dxa"/>
            </w:tcMar>
          </w:tcPr>
          <w:p>
            <w:pPr>
              <w:spacing w:after="0" w:line="240" w:lineRule="auto"/>
            </w:pPr>
            <w:r>
              <w:rPr>
                <w:rFonts w:ascii="Arial" w:hAnsi="Arial"/>
                <w:b w:val="0"/>
                <w:i w:val="0"/>
                <w:sz w:val="16"/>
              </w:rPr>
              <w:t>Học trực tiếp spatial patterns từ gridded dynamical fields.</w:t>
            </w:r>
          </w:p>
        </w:tc>
      </w:tr>
      <w:tr>
        <w:trPr>
          <w:cantSplit w:val="true"/>
        </w:trPr>
        <w:tc>
          <w:tcPr>
            <w:tcW w:type="dxa" w:w="1757"/>
            <w:vAlign w:val="center"/>
            <w:tcMar>
              <w:top w:w="70" w:type="dxa"/>
              <w:start w:w="75" w:type="dxa"/>
              <w:bottom w:w="70" w:type="dxa"/>
              <w:end w:w="75" w:type="dxa"/>
            </w:tcMar>
          </w:tcPr>
          <w:p>
            <w:pPr>
              <w:spacing w:after="0" w:line="240" w:lineRule="auto"/>
            </w:pPr>
            <w:r>
              <w:rPr>
                <w:rFonts w:ascii="Arial" w:hAnsi="Arial"/>
                <w:b w:val="0"/>
                <w:i w:val="0"/>
                <w:sz w:val="16"/>
              </w:rPr>
              <w:t>Spatial DL</w:t>
            </w:r>
          </w:p>
        </w:tc>
        <w:tc>
          <w:tcPr>
            <w:tcW w:type="dxa" w:w="2381"/>
            <w:vAlign w:val="center"/>
            <w:tcMar>
              <w:top w:w="70" w:type="dxa"/>
              <w:start w:w="75" w:type="dxa"/>
              <w:bottom w:w="70" w:type="dxa"/>
              <w:end w:w="75" w:type="dxa"/>
            </w:tcMar>
          </w:tcPr>
          <w:p>
            <w:pPr>
              <w:spacing w:after="0" w:line="240" w:lineRule="auto"/>
            </w:pPr>
            <w:r>
              <w:rPr>
                <w:rFonts w:ascii="Arial" w:hAnsi="Arial"/>
                <w:b w:val="0"/>
                <w:i w:val="0"/>
                <w:sz w:val="16"/>
              </w:rPr>
              <w:t>ResU-Net / U-Net</w:t>
            </w:r>
          </w:p>
        </w:tc>
        <w:tc>
          <w:tcPr>
            <w:tcW w:type="dxa" w:w="1190"/>
            <w:vAlign w:val="center"/>
            <w:tcMar>
              <w:top w:w="70" w:type="dxa"/>
              <w:start w:w="75" w:type="dxa"/>
              <w:bottom w:w="70" w:type="dxa"/>
              <w:end w:w="75" w:type="dxa"/>
            </w:tcMar>
          </w:tcPr>
          <w:p>
            <w:pPr>
              <w:spacing w:after="0" w:line="240" w:lineRule="auto"/>
            </w:pPr>
            <w:r>
              <w:rPr>
                <w:rFonts w:ascii="Arial" w:hAnsi="Arial"/>
                <w:b w:val="0"/>
                <w:i w:val="0"/>
                <w:sz w:val="16"/>
              </w:rPr>
              <w:t>Rất cao</w:t>
            </w:r>
          </w:p>
        </w:tc>
        <w:tc>
          <w:tcPr>
            <w:tcW w:type="dxa" w:w="4536"/>
            <w:vAlign w:val="center"/>
            <w:tcMar>
              <w:top w:w="70" w:type="dxa"/>
              <w:start w:w="75" w:type="dxa"/>
              <w:bottom w:w="70" w:type="dxa"/>
              <w:end w:w="75" w:type="dxa"/>
            </w:tcMar>
          </w:tcPr>
          <w:p>
            <w:pPr>
              <w:spacing w:after="0" w:line="240" w:lineRule="auto"/>
            </w:pPr>
            <w:r>
              <w:rPr>
                <w:rFonts w:ascii="Arial" w:hAnsi="Arial"/>
                <w:b w:val="0"/>
                <w:i w:val="0"/>
                <w:sz w:val="16"/>
              </w:rPr>
              <w:t>Ưu tiên cho W3–W6; giữ cấu trúc không gian và teleconnection patterns.</w:t>
            </w:r>
          </w:p>
        </w:tc>
      </w:tr>
      <w:tr>
        <w:trPr>
          <w:cantSplit w:val="true"/>
        </w:trPr>
        <w:tc>
          <w:tcPr>
            <w:tcW w:type="dxa" w:w="1757"/>
            <w:vAlign w:val="center"/>
            <w:tcMar>
              <w:top w:w="70" w:type="dxa"/>
              <w:start w:w="75" w:type="dxa"/>
              <w:bottom w:w="70" w:type="dxa"/>
              <w:end w:w="75" w:type="dxa"/>
            </w:tcMar>
          </w:tcPr>
          <w:p>
            <w:pPr>
              <w:spacing w:after="0" w:line="240" w:lineRule="auto"/>
            </w:pPr>
            <w:r>
              <w:rPr>
                <w:rFonts w:ascii="Arial" w:hAnsi="Arial"/>
                <w:b w:val="0"/>
                <w:i w:val="0"/>
                <w:sz w:val="16"/>
              </w:rPr>
              <w:t>Spatiotemporal DL</w:t>
            </w:r>
          </w:p>
        </w:tc>
        <w:tc>
          <w:tcPr>
            <w:tcW w:type="dxa" w:w="2381"/>
            <w:vAlign w:val="center"/>
            <w:tcMar>
              <w:top w:w="70" w:type="dxa"/>
              <w:start w:w="75" w:type="dxa"/>
              <w:bottom w:w="70" w:type="dxa"/>
              <w:end w:w="75" w:type="dxa"/>
            </w:tcMar>
          </w:tcPr>
          <w:p>
            <w:pPr>
              <w:spacing w:after="0" w:line="240" w:lineRule="auto"/>
            </w:pPr>
            <w:r>
              <w:rPr>
                <w:rFonts w:ascii="Arial" w:hAnsi="Arial"/>
                <w:b w:val="0"/>
                <w:i w:val="0"/>
                <w:sz w:val="16"/>
              </w:rPr>
              <w:t>ConvLSTM / 3D CNN</w:t>
            </w:r>
          </w:p>
        </w:tc>
        <w:tc>
          <w:tcPr>
            <w:tcW w:type="dxa" w:w="1190"/>
            <w:vAlign w:val="center"/>
            <w:tcMar>
              <w:top w:w="70" w:type="dxa"/>
              <w:start w:w="75" w:type="dxa"/>
              <w:bottom w:w="70" w:type="dxa"/>
              <w:end w:w="75" w:type="dxa"/>
            </w:tcMar>
          </w:tcPr>
          <w:p>
            <w:pPr>
              <w:spacing w:after="0" w:line="240" w:lineRule="auto"/>
            </w:pPr>
            <w:r>
              <w:rPr>
                <w:rFonts w:ascii="Arial" w:hAnsi="Arial"/>
                <w:b w:val="0"/>
                <w:i w:val="0"/>
                <w:sz w:val="16"/>
              </w:rPr>
              <w:t>Cao</w:t>
            </w:r>
          </w:p>
        </w:tc>
        <w:tc>
          <w:tcPr>
            <w:tcW w:type="dxa" w:w="4536"/>
            <w:vAlign w:val="center"/>
            <w:tcMar>
              <w:top w:w="70" w:type="dxa"/>
              <w:start w:w="75" w:type="dxa"/>
              <w:bottom w:w="70" w:type="dxa"/>
              <w:end w:w="75" w:type="dxa"/>
            </w:tcMar>
          </w:tcPr>
          <w:p>
            <w:pPr>
              <w:spacing w:after="0" w:line="240" w:lineRule="auto"/>
            </w:pPr>
            <w:r>
              <w:rPr>
                <w:rFonts w:ascii="Arial" w:hAnsi="Arial"/>
                <w:b w:val="0"/>
                <w:i w:val="0"/>
                <w:sz w:val="16"/>
              </w:rPr>
              <w:t>Tốt nếu dùng chuỗi trường nhiều ngày/tuần làm input.</w:t>
            </w:r>
          </w:p>
        </w:tc>
      </w:tr>
      <w:tr>
        <w:trPr>
          <w:cantSplit w:val="true"/>
        </w:trPr>
        <w:tc>
          <w:tcPr>
            <w:tcW w:type="dxa" w:w="1757"/>
            <w:vAlign w:val="center"/>
            <w:tcMar>
              <w:top w:w="70" w:type="dxa"/>
              <w:start w:w="75" w:type="dxa"/>
              <w:bottom w:w="70" w:type="dxa"/>
              <w:end w:w="75" w:type="dxa"/>
            </w:tcMar>
          </w:tcPr>
          <w:p>
            <w:pPr>
              <w:spacing w:after="0" w:line="240" w:lineRule="auto"/>
            </w:pPr>
            <w:r>
              <w:rPr>
                <w:rFonts w:ascii="Arial" w:hAnsi="Arial"/>
                <w:b w:val="0"/>
                <w:i w:val="0"/>
                <w:sz w:val="16"/>
              </w:rPr>
              <w:t>Attention</w:t>
            </w:r>
          </w:p>
        </w:tc>
        <w:tc>
          <w:tcPr>
            <w:tcW w:type="dxa" w:w="2381"/>
            <w:vAlign w:val="center"/>
            <w:tcMar>
              <w:top w:w="70" w:type="dxa"/>
              <w:start w:w="75" w:type="dxa"/>
              <w:bottom w:w="70" w:type="dxa"/>
              <w:end w:w="75" w:type="dxa"/>
            </w:tcMar>
          </w:tcPr>
          <w:p>
            <w:pPr>
              <w:spacing w:after="0" w:line="240" w:lineRule="auto"/>
            </w:pPr>
            <w:r>
              <w:rPr>
                <w:rFonts w:ascii="Arial" w:hAnsi="Arial"/>
                <w:b w:val="0"/>
                <w:i w:val="0"/>
                <w:sz w:val="16"/>
              </w:rPr>
              <w:t>Transformer</w:t>
            </w:r>
          </w:p>
        </w:tc>
        <w:tc>
          <w:tcPr>
            <w:tcW w:type="dxa" w:w="1190"/>
            <w:vAlign w:val="center"/>
            <w:tcMar>
              <w:top w:w="70" w:type="dxa"/>
              <w:start w:w="75" w:type="dxa"/>
              <w:bottom w:w="70" w:type="dxa"/>
              <w:end w:w="75" w:type="dxa"/>
            </w:tcMar>
          </w:tcPr>
          <w:p>
            <w:pPr>
              <w:spacing w:after="0" w:line="240" w:lineRule="auto"/>
            </w:pPr>
            <w:r>
              <w:rPr>
                <w:rFonts w:ascii="Arial" w:hAnsi="Arial"/>
                <w:b w:val="0"/>
                <w:i w:val="0"/>
                <w:sz w:val="16"/>
              </w:rPr>
              <w:t>Rất cao</w:t>
            </w:r>
          </w:p>
        </w:tc>
        <w:tc>
          <w:tcPr>
            <w:tcW w:type="dxa" w:w="4536"/>
            <w:vAlign w:val="center"/>
            <w:tcMar>
              <w:top w:w="70" w:type="dxa"/>
              <w:start w:w="75" w:type="dxa"/>
              <w:bottom w:w="70" w:type="dxa"/>
              <w:end w:w="75" w:type="dxa"/>
            </w:tcMar>
          </w:tcPr>
          <w:p>
            <w:pPr>
              <w:spacing w:after="0" w:line="240" w:lineRule="auto"/>
            </w:pPr>
            <w:r>
              <w:rPr>
                <w:rFonts w:ascii="Arial" w:hAnsi="Arial"/>
                <w:b w:val="0"/>
                <w:i w:val="0"/>
                <w:sz w:val="16"/>
              </w:rPr>
              <w:t>Học long-range dependence; cần kiểm soát overfitting và sample size.</w:t>
            </w:r>
          </w:p>
        </w:tc>
      </w:tr>
      <w:tr>
        <w:trPr>
          <w:cantSplit w:val="true"/>
        </w:trPr>
        <w:tc>
          <w:tcPr>
            <w:tcW w:type="dxa" w:w="1757"/>
            <w:vAlign w:val="center"/>
            <w:tcMar>
              <w:top w:w="70" w:type="dxa"/>
              <w:start w:w="75" w:type="dxa"/>
              <w:bottom w:w="70" w:type="dxa"/>
              <w:end w:w="75" w:type="dxa"/>
            </w:tcMar>
          </w:tcPr>
          <w:p>
            <w:pPr>
              <w:spacing w:after="0" w:line="240" w:lineRule="auto"/>
            </w:pPr>
            <w:r>
              <w:rPr>
                <w:rFonts w:ascii="Arial" w:hAnsi="Arial"/>
                <w:b w:val="0"/>
                <w:i w:val="0"/>
                <w:sz w:val="16"/>
              </w:rPr>
              <w:t>Hybrid DL</w:t>
            </w:r>
          </w:p>
        </w:tc>
        <w:tc>
          <w:tcPr>
            <w:tcW w:type="dxa" w:w="2381"/>
            <w:vAlign w:val="center"/>
            <w:tcMar>
              <w:top w:w="70" w:type="dxa"/>
              <w:start w:w="75" w:type="dxa"/>
              <w:bottom w:w="70" w:type="dxa"/>
              <w:end w:w="75" w:type="dxa"/>
            </w:tcMar>
          </w:tcPr>
          <w:p>
            <w:pPr>
              <w:spacing w:after="0" w:line="240" w:lineRule="auto"/>
            </w:pPr>
            <w:r>
              <w:rPr>
                <w:rFonts w:ascii="Arial" w:hAnsi="Arial"/>
                <w:b w:val="0"/>
                <w:i w:val="0"/>
                <w:sz w:val="16"/>
              </w:rPr>
              <w:t>U-Net/CNN + Transformer</w:t>
            </w:r>
          </w:p>
        </w:tc>
        <w:tc>
          <w:tcPr>
            <w:tcW w:type="dxa" w:w="1190"/>
            <w:vAlign w:val="center"/>
            <w:tcMar>
              <w:top w:w="70" w:type="dxa"/>
              <w:start w:w="75" w:type="dxa"/>
              <w:bottom w:w="70" w:type="dxa"/>
              <w:end w:w="75" w:type="dxa"/>
            </w:tcMar>
          </w:tcPr>
          <w:p>
            <w:pPr>
              <w:spacing w:after="0" w:line="240" w:lineRule="auto"/>
            </w:pPr>
            <w:r>
              <w:rPr>
                <w:rFonts w:ascii="Arial" w:hAnsi="Arial"/>
                <w:b w:val="0"/>
                <w:i w:val="0"/>
                <w:sz w:val="16"/>
              </w:rPr>
              <w:t>Rất cao</w:t>
            </w:r>
          </w:p>
        </w:tc>
        <w:tc>
          <w:tcPr>
            <w:tcW w:type="dxa" w:w="4536"/>
            <w:vAlign w:val="center"/>
            <w:tcMar>
              <w:top w:w="70" w:type="dxa"/>
              <w:start w:w="75" w:type="dxa"/>
              <w:bottom w:w="70" w:type="dxa"/>
              <w:end w:w="75" w:type="dxa"/>
            </w:tcMar>
          </w:tcPr>
          <w:p>
            <w:pPr>
              <w:spacing w:after="0" w:line="240" w:lineRule="auto"/>
            </w:pPr>
            <w:r>
              <w:rPr>
                <w:rFonts w:ascii="Arial" w:hAnsi="Arial"/>
                <w:b w:val="0"/>
                <w:i w:val="0"/>
                <w:sz w:val="16"/>
              </w:rPr>
              <w:t>Kết hợp local/multiscale spatial structure với long-range dependence.</w:t>
            </w:r>
          </w:p>
        </w:tc>
      </w:tr>
      <w:tr>
        <w:trPr>
          <w:cantSplit w:val="true"/>
        </w:trPr>
        <w:tc>
          <w:tcPr>
            <w:tcW w:type="dxa" w:w="1757"/>
            <w:vAlign w:val="center"/>
            <w:tcMar>
              <w:top w:w="70" w:type="dxa"/>
              <w:start w:w="75" w:type="dxa"/>
              <w:bottom w:w="70" w:type="dxa"/>
              <w:end w:w="75" w:type="dxa"/>
            </w:tcMar>
          </w:tcPr>
          <w:p>
            <w:pPr>
              <w:spacing w:after="0" w:line="240" w:lineRule="auto"/>
            </w:pPr>
            <w:r>
              <w:rPr>
                <w:rFonts w:ascii="Arial" w:hAnsi="Arial"/>
                <w:b w:val="0"/>
                <w:i w:val="0"/>
                <w:sz w:val="16"/>
              </w:rPr>
              <w:t>Graph DL</w:t>
            </w:r>
          </w:p>
        </w:tc>
        <w:tc>
          <w:tcPr>
            <w:tcW w:type="dxa" w:w="2381"/>
            <w:vAlign w:val="center"/>
            <w:tcMar>
              <w:top w:w="70" w:type="dxa"/>
              <w:start w:w="75" w:type="dxa"/>
              <w:bottom w:w="70" w:type="dxa"/>
              <w:end w:w="75" w:type="dxa"/>
            </w:tcMar>
          </w:tcPr>
          <w:p>
            <w:pPr>
              <w:spacing w:after="0" w:line="240" w:lineRule="auto"/>
            </w:pPr>
            <w:r>
              <w:rPr>
                <w:rFonts w:ascii="Arial" w:hAnsi="Arial"/>
                <w:b w:val="0"/>
                <w:i w:val="0"/>
                <w:sz w:val="16"/>
              </w:rPr>
              <w:t>GNN</w:t>
            </w:r>
          </w:p>
        </w:tc>
        <w:tc>
          <w:tcPr>
            <w:tcW w:type="dxa" w:w="1190"/>
            <w:vAlign w:val="center"/>
            <w:tcMar>
              <w:top w:w="70" w:type="dxa"/>
              <w:start w:w="75" w:type="dxa"/>
              <w:bottom w:w="70" w:type="dxa"/>
              <w:end w:w="75" w:type="dxa"/>
            </w:tcMar>
          </w:tcPr>
          <w:p>
            <w:pPr>
              <w:spacing w:after="0" w:line="240" w:lineRule="auto"/>
            </w:pPr>
            <w:r>
              <w:rPr>
                <w:rFonts w:ascii="Arial" w:hAnsi="Arial"/>
                <w:b w:val="0"/>
                <w:i w:val="0"/>
                <w:sz w:val="16"/>
              </w:rPr>
              <w:t>Thăm dò</w:t>
            </w:r>
          </w:p>
        </w:tc>
        <w:tc>
          <w:tcPr>
            <w:tcW w:type="dxa" w:w="4536"/>
            <w:vAlign w:val="center"/>
            <w:tcMar>
              <w:top w:w="70" w:type="dxa"/>
              <w:start w:w="75" w:type="dxa"/>
              <w:bottom w:w="70" w:type="dxa"/>
              <w:end w:w="75" w:type="dxa"/>
            </w:tcMar>
          </w:tcPr>
          <w:p>
            <w:pPr>
              <w:spacing w:after="0" w:line="240" w:lineRule="auto"/>
            </w:pPr>
            <w:r>
              <w:rPr>
                <w:rFonts w:ascii="Arial" w:hAnsi="Arial"/>
                <w:b w:val="0"/>
                <w:i w:val="0"/>
                <w:sz w:val="16"/>
              </w:rPr>
              <w:t>Có tiềm năng cho nonlocal connections nhưng chưa phải ưu tiên triển khai đầu.</w:t>
            </w:r>
          </w:p>
        </w:tc>
      </w:tr>
      <w:tr>
        <w:trPr>
          <w:cantSplit w:val="true"/>
        </w:trPr>
        <w:tc>
          <w:tcPr>
            <w:tcW w:type="dxa" w:w="1757"/>
            <w:vAlign w:val="center"/>
            <w:tcMar>
              <w:top w:w="70" w:type="dxa"/>
              <w:start w:w="75" w:type="dxa"/>
              <w:bottom w:w="70" w:type="dxa"/>
              <w:end w:w="75" w:type="dxa"/>
            </w:tcMar>
          </w:tcPr>
          <w:p>
            <w:pPr>
              <w:spacing w:after="0" w:line="240" w:lineRule="auto"/>
            </w:pPr>
            <w:r>
              <w:rPr>
                <w:rFonts w:ascii="Arial" w:hAnsi="Arial"/>
                <w:b w:val="0"/>
                <w:i w:val="0"/>
                <w:sz w:val="16"/>
              </w:rPr>
              <w:t>Probabilistic correction</w:t>
            </w:r>
          </w:p>
        </w:tc>
        <w:tc>
          <w:tcPr>
            <w:tcW w:type="dxa" w:w="2381"/>
            <w:vAlign w:val="center"/>
            <w:tcMar>
              <w:top w:w="70" w:type="dxa"/>
              <w:start w:w="75" w:type="dxa"/>
              <w:bottom w:w="70" w:type="dxa"/>
              <w:end w:w="75" w:type="dxa"/>
            </w:tcMar>
          </w:tcPr>
          <w:p>
            <w:pPr>
              <w:spacing w:after="0" w:line="240" w:lineRule="auto"/>
            </w:pPr>
            <w:r>
              <w:rPr>
                <w:rFonts w:ascii="Arial" w:hAnsi="Arial"/>
                <w:b w:val="0"/>
                <w:i w:val="0"/>
                <w:sz w:val="16"/>
              </w:rPr>
              <w:t>PBC / distributional/quantile models</w:t>
            </w:r>
          </w:p>
        </w:tc>
        <w:tc>
          <w:tcPr>
            <w:tcW w:type="dxa" w:w="1190"/>
            <w:vAlign w:val="center"/>
            <w:tcMar>
              <w:top w:w="70" w:type="dxa"/>
              <w:start w:w="75" w:type="dxa"/>
              <w:bottom w:w="70" w:type="dxa"/>
              <w:end w:w="75" w:type="dxa"/>
            </w:tcMar>
          </w:tcPr>
          <w:p>
            <w:pPr>
              <w:spacing w:after="0" w:line="240" w:lineRule="auto"/>
            </w:pPr>
            <w:r>
              <w:rPr>
                <w:rFonts w:ascii="Arial" w:hAnsi="Arial"/>
                <w:b w:val="0"/>
                <w:i w:val="0"/>
                <w:sz w:val="16"/>
              </w:rPr>
              <w:t>Rất cao</w:t>
            </w:r>
          </w:p>
        </w:tc>
        <w:tc>
          <w:tcPr>
            <w:tcW w:type="dxa" w:w="4536"/>
            <w:vAlign w:val="center"/>
            <w:tcMar>
              <w:top w:w="70" w:type="dxa"/>
              <w:start w:w="75" w:type="dxa"/>
              <w:bottom w:w="70" w:type="dxa"/>
              <w:end w:w="75" w:type="dxa"/>
            </w:tcMar>
          </w:tcPr>
          <w:p>
            <w:pPr>
              <w:spacing w:after="0" w:line="240" w:lineRule="auto"/>
            </w:pPr>
            <w:r>
              <w:rPr>
                <w:rFonts w:ascii="Arial" w:hAnsi="Arial"/>
                <w:b w:val="0"/>
                <w:i w:val="0"/>
                <w:sz w:val="16"/>
              </w:rPr>
              <w:t>Phù hợp với uncertainty tăng nhanh từ W3–W6.</w:t>
            </w:r>
          </w:p>
        </w:tc>
      </w:tr>
      <w:tr>
        <w:trPr>
          <w:cantSplit w:val="true"/>
        </w:trPr>
        <w:tc>
          <w:tcPr>
            <w:tcW w:type="dxa" w:w="1757"/>
            <w:vAlign w:val="center"/>
            <w:tcMar>
              <w:top w:w="70" w:type="dxa"/>
              <w:start w:w="75" w:type="dxa"/>
              <w:bottom w:w="70" w:type="dxa"/>
              <w:end w:w="75" w:type="dxa"/>
            </w:tcMar>
          </w:tcPr>
          <w:p>
            <w:pPr>
              <w:spacing w:after="0" w:line="240" w:lineRule="auto"/>
            </w:pPr>
            <w:r>
              <w:rPr>
                <w:rFonts w:ascii="Arial" w:hAnsi="Arial"/>
                <w:b w:val="0"/>
                <w:i w:val="0"/>
                <w:sz w:val="16"/>
              </w:rPr>
              <w:t>Meta-model</w:t>
            </w:r>
          </w:p>
        </w:tc>
        <w:tc>
          <w:tcPr>
            <w:tcW w:type="dxa" w:w="2381"/>
            <w:vAlign w:val="center"/>
            <w:tcMar>
              <w:top w:w="70" w:type="dxa"/>
              <w:start w:w="75" w:type="dxa"/>
              <w:bottom w:w="70" w:type="dxa"/>
              <w:end w:w="75" w:type="dxa"/>
            </w:tcMar>
          </w:tcPr>
          <w:p>
            <w:pPr>
              <w:spacing w:after="0" w:line="240" w:lineRule="auto"/>
            </w:pPr>
            <w:r>
              <w:rPr>
                <w:rFonts w:ascii="Arial" w:hAnsi="Arial"/>
                <w:b w:val="0"/>
                <w:i w:val="0"/>
                <w:sz w:val="16"/>
              </w:rPr>
              <w:t>Stacking / blending</w:t>
            </w:r>
          </w:p>
        </w:tc>
        <w:tc>
          <w:tcPr>
            <w:tcW w:type="dxa" w:w="1190"/>
            <w:vAlign w:val="center"/>
            <w:tcMar>
              <w:top w:w="70" w:type="dxa"/>
              <w:start w:w="75" w:type="dxa"/>
              <w:bottom w:w="70" w:type="dxa"/>
              <w:end w:w="75" w:type="dxa"/>
            </w:tcMar>
          </w:tcPr>
          <w:p>
            <w:pPr>
              <w:spacing w:after="0" w:line="240" w:lineRule="auto"/>
            </w:pPr>
            <w:r>
              <w:rPr>
                <w:rFonts w:ascii="Arial" w:hAnsi="Arial"/>
                <w:b w:val="0"/>
                <w:i w:val="0"/>
                <w:sz w:val="16"/>
              </w:rPr>
              <w:t>Rất cao</w:t>
            </w:r>
          </w:p>
        </w:tc>
        <w:tc>
          <w:tcPr>
            <w:tcW w:type="dxa" w:w="4536"/>
            <w:vAlign w:val="center"/>
            <w:tcMar>
              <w:top w:w="70" w:type="dxa"/>
              <w:start w:w="75" w:type="dxa"/>
              <w:bottom w:w="70" w:type="dxa"/>
              <w:end w:w="75" w:type="dxa"/>
            </w:tcMar>
          </w:tcPr>
          <w:p>
            <w:pPr>
              <w:spacing w:after="0" w:line="240" w:lineRule="auto"/>
            </w:pPr>
            <w:r>
              <w:rPr>
                <w:rFonts w:ascii="Arial" w:hAnsi="Arial"/>
                <w:b w:val="0"/>
                <w:i w:val="0"/>
                <w:sz w:val="16"/>
              </w:rPr>
              <w:t>Thành phần cuối gần như bắt buộc; ensemble composition nên phụ thuộc lead.</w:t>
            </w:r>
          </w:p>
        </w:tc>
      </w:tr>
    </w:tbl>
    <w:p>
      <w:pPr>
        <w:spacing w:after="100"/>
        <w:jc w:val="center"/>
      </w:pPr>
      <w:r>
        <w:rPr>
          <w:rFonts w:ascii="Arial" w:hAnsi="Arial"/>
          <w:b w:val="0"/>
          <w:i/>
          <w:color w:val="505050"/>
          <w:sz w:val="18"/>
        </w:rPr>
        <w:t>Bảng 1. Model pool gợi ý cho hệ hybrid S2S-HW/EHDE.</w:t>
      </w:r>
    </w:p>
    <w:p>
      <w:pPr>
        <w:spacing w:after="80" w:line="259" w:lineRule="auto"/>
      </w:pPr>
      <w:r>
        <w:rPr>
          <w:rFonts w:ascii="Arial" w:hAnsi="Arial"/>
          <w:b w:val="0"/>
          <w:i w:val="0"/>
          <w:sz w:val="21"/>
        </w:rPr>
        <w:t>Nếu phải tập trung nguồn lực, “core set” nên gồm: XGBoost/CatBoost + MLP + ResU-Net + Transformer + Stacking. LightGBM, CNN và ConvLSTM là nhóm bổ sung có giá trị; Ridge/Logistic, Random Forest giữ vai trò benchmark; GNN nên ở nhánh exploratory.</w:t>
      </w:r>
    </w:p>
    <w:p>
      <w:pPr>
        <w:pStyle w:val="Heading1"/>
        <w:keepNext/>
        <w:spacing w:before="160" w:after="80"/>
      </w:pPr>
      <w:r>
        <w:rPr>
          <w:rFonts w:ascii="Arial" w:hAnsi="Arial"/>
          <w:b/>
          <w:i w:val="0"/>
          <w:color w:val="1F4E79"/>
          <w:sz w:val="28"/>
        </w:rPr>
        <w:t>3. Có nên chọn AI models và predictors theo lead time?</w:t>
      </w:r>
    </w:p>
    <w:p>
      <w:pPr>
        <w:spacing w:after="80" w:line="259" w:lineRule="auto"/>
      </w:pPr>
      <w:r>
        <w:rPr>
          <w:rFonts w:ascii="Arial" w:hAnsi="Arial"/>
          <w:b w:val="0"/>
          <w:i w:val="0"/>
          <w:sz w:val="21"/>
        </w:rPr>
        <w:t>Khuyến nghị: CÓ, và đây là một trong những quyết định quan trọng nhất. Lead time làm thay đổi cả nguồn predictability lẫn systematic error của dynamical models. Nghiên cứu ResU-Net S2S năm 2026 cho thấy predictors quan trọng của T2m chuyển từ MSL/Z850/T850/T2m ở W1–W2 sang SST/Z200/T200 ở W4–W6 [1]. Nghiên cứu heatwave bằng ML cũng cho thấy SST trở nên đặc biệt quan trọng ở lead 4–6 tuần [2].</w:t>
      </w:r>
    </w:p>
    <w:tbl>
      <w:tblPr>
        <w:tblStyle w:val="TableGrid"/>
        <w:tblW w:type="auto" w:w="0"/>
        <w:jc w:val="center"/>
        <w:tblLook w:firstColumn="1" w:firstRow="1" w:lastColumn="0" w:lastRow="0" w:noHBand="0" w:noVBand="1" w:val="04A0"/>
      </w:tblPr>
      <w:tblGrid>
        <w:gridCol w:w="1973"/>
        <w:gridCol w:w="1973"/>
        <w:gridCol w:w="1973"/>
        <w:gridCol w:w="1973"/>
        <w:gridCol w:w="1973"/>
      </w:tblGrid>
      <w:tr>
        <w:trPr>
          <w:cantSplit w:val="true"/>
          <w:tblHeader w:val="true"/>
        </w:trPr>
        <w:tc>
          <w:tcPr>
            <w:tcW w:type="dxa" w:w="850"/>
            <w:vAlign w:val="center"/>
            <w:tcMar>
              <w:top w:w="70" w:type="dxa"/>
              <w:start w:w="75" w:type="dxa"/>
              <w:bottom w:w="70" w:type="dxa"/>
              <w:end w:w="75" w:type="dxa"/>
            </w:tcMar>
            <w:shd w:fill="D9EAF7"/>
          </w:tcPr>
          <w:p>
            <w:pPr>
              <w:spacing w:after="0" w:line="240" w:lineRule="auto"/>
            </w:pPr>
            <w:r>
              <w:rPr>
                <w:rFonts w:ascii="Arial" w:hAnsi="Arial"/>
                <w:b/>
                <w:i w:val="0"/>
                <w:sz w:val="15"/>
              </w:rPr>
              <w:t>Lead</w:t>
            </w:r>
          </w:p>
        </w:tc>
        <w:tc>
          <w:tcPr>
            <w:tcW w:type="dxa" w:w="2154"/>
            <w:vAlign w:val="center"/>
            <w:tcMar>
              <w:top w:w="70" w:type="dxa"/>
              <w:start w:w="75" w:type="dxa"/>
              <w:bottom w:w="70" w:type="dxa"/>
              <w:end w:w="75" w:type="dxa"/>
            </w:tcMar>
            <w:shd w:fill="D9EAF7"/>
          </w:tcPr>
          <w:p>
            <w:pPr>
              <w:spacing w:after="0" w:line="240" w:lineRule="auto"/>
            </w:pPr>
            <w:r>
              <w:rPr>
                <w:rFonts w:ascii="Arial" w:hAnsi="Arial"/>
                <w:b/>
                <w:i w:val="0"/>
                <w:sz w:val="15"/>
              </w:rPr>
              <w:t>Nguồn predictability chính</w:t>
            </w:r>
          </w:p>
        </w:tc>
        <w:tc>
          <w:tcPr>
            <w:tcW w:type="dxa" w:w="3288"/>
            <w:vAlign w:val="center"/>
            <w:tcMar>
              <w:top w:w="70" w:type="dxa"/>
              <w:start w:w="75" w:type="dxa"/>
              <w:bottom w:w="70" w:type="dxa"/>
              <w:end w:w="75" w:type="dxa"/>
            </w:tcMar>
            <w:shd w:fill="D9EAF7"/>
          </w:tcPr>
          <w:p>
            <w:pPr>
              <w:spacing w:after="0" w:line="240" w:lineRule="auto"/>
            </w:pPr>
            <w:r>
              <w:rPr>
                <w:rFonts w:ascii="Arial" w:hAnsi="Arial"/>
                <w:b/>
                <w:i w:val="0"/>
                <w:sz w:val="15"/>
              </w:rPr>
              <w:t>Predictors ưu tiên</w:t>
            </w:r>
          </w:p>
        </w:tc>
        <w:tc>
          <w:tcPr>
            <w:tcW w:type="dxa" w:w="2097"/>
            <w:vAlign w:val="center"/>
            <w:tcMar>
              <w:top w:w="70" w:type="dxa"/>
              <w:start w:w="75" w:type="dxa"/>
              <w:bottom w:w="70" w:type="dxa"/>
              <w:end w:w="75" w:type="dxa"/>
            </w:tcMar>
            <w:shd w:fill="D9EAF7"/>
          </w:tcPr>
          <w:p>
            <w:pPr>
              <w:spacing w:after="0" w:line="240" w:lineRule="auto"/>
            </w:pPr>
            <w:r>
              <w:rPr>
                <w:rFonts w:ascii="Arial" w:hAnsi="Arial"/>
                <w:b/>
                <w:i w:val="0"/>
                <w:sz w:val="15"/>
              </w:rPr>
              <w:t>Models ưu tiên</w:t>
            </w:r>
          </w:p>
        </w:tc>
        <w:tc>
          <w:tcPr>
            <w:tcW w:type="dxa" w:w="2381"/>
            <w:vAlign w:val="center"/>
            <w:tcMar>
              <w:top w:w="70" w:type="dxa"/>
              <w:start w:w="75" w:type="dxa"/>
              <w:bottom w:w="70" w:type="dxa"/>
              <w:end w:w="75" w:type="dxa"/>
            </w:tcMar>
            <w:shd w:fill="D9EAF7"/>
          </w:tcPr>
          <w:p>
            <w:pPr>
              <w:spacing w:after="0" w:line="240" w:lineRule="auto"/>
            </w:pPr>
            <w:r>
              <w:rPr>
                <w:rFonts w:ascii="Arial" w:hAnsi="Arial"/>
                <w:b/>
                <w:i w:val="0"/>
                <w:sz w:val="15"/>
              </w:rPr>
              <w:t>Thiết kế</w:t>
            </w:r>
          </w:p>
        </w:tc>
      </w:tr>
      <w:tr>
        <w:trPr>
          <w:cantSplit w:val="true"/>
        </w:trPr>
        <w:tc>
          <w:tcPr>
            <w:tcW w:type="dxa" w:w="850"/>
            <w:vAlign w:val="center"/>
            <w:tcMar>
              <w:top w:w="70" w:type="dxa"/>
              <w:start w:w="75" w:type="dxa"/>
              <w:bottom w:w="70" w:type="dxa"/>
              <w:end w:w="75" w:type="dxa"/>
            </w:tcMar>
          </w:tcPr>
          <w:p>
            <w:pPr>
              <w:spacing w:after="0" w:line="240" w:lineRule="auto"/>
            </w:pPr>
            <w:r>
              <w:rPr>
                <w:rFonts w:ascii="Arial" w:hAnsi="Arial"/>
                <w:b w:val="0"/>
                <w:i w:val="0"/>
                <w:sz w:val="15"/>
              </w:rPr>
              <w:t>W1–W2</w:t>
            </w:r>
          </w:p>
        </w:tc>
        <w:tc>
          <w:tcPr>
            <w:tcW w:type="dxa" w:w="2154"/>
            <w:vAlign w:val="center"/>
            <w:tcMar>
              <w:top w:w="70" w:type="dxa"/>
              <w:start w:w="75" w:type="dxa"/>
              <w:bottom w:w="70" w:type="dxa"/>
              <w:end w:w="75" w:type="dxa"/>
            </w:tcMar>
          </w:tcPr>
          <w:p>
            <w:pPr>
              <w:spacing w:after="0" w:line="240" w:lineRule="auto"/>
            </w:pPr>
            <w:r>
              <w:rPr>
                <w:rFonts w:ascii="Arial" w:hAnsi="Arial"/>
                <w:b w:val="0"/>
                <w:i w:val="0"/>
                <w:sz w:val="15"/>
              </w:rPr>
              <w:t>Correction của trạng thái thời tiết đã được dynamical model mô tả tương đối tốt</w:t>
            </w:r>
          </w:p>
        </w:tc>
        <w:tc>
          <w:tcPr>
            <w:tcW w:type="dxa" w:w="3288"/>
            <w:vAlign w:val="center"/>
            <w:tcMar>
              <w:top w:w="70" w:type="dxa"/>
              <w:start w:w="75" w:type="dxa"/>
              <w:bottom w:w="70" w:type="dxa"/>
              <w:end w:w="75" w:type="dxa"/>
            </w:tcMar>
          </w:tcPr>
          <w:p>
            <w:pPr>
              <w:spacing w:after="0" w:line="240" w:lineRule="auto"/>
            </w:pPr>
            <w:r>
              <w:rPr>
                <w:rFonts w:ascii="Arial" w:hAnsi="Arial"/>
                <w:b w:val="0"/>
                <w:i w:val="0"/>
                <w:sz w:val="15"/>
              </w:rPr>
              <w:t>T2m/Tmax; T850; Z850/Z500; MSLP; RH; wind; radiation; precipitation; soil moisture; ensemble mean/spread; local climatology/bias</w:t>
            </w:r>
          </w:p>
        </w:tc>
        <w:tc>
          <w:tcPr>
            <w:tcW w:type="dxa" w:w="2097"/>
            <w:vAlign w:val="center"/>
            <w:tcMar>
              <w:top w:w="70" w:type="dxa"/>
              <w:start w:w="75" w:type="dxa"/>
              <w:bottom w:w="70" w:type="dxa"/>
              <w:end w:w="75" w:type="dxa"/>
            </w:tcMar>
          </w:tcPr>
          <w:p>
            <w:pPr>
              <w:spacing w:after="0" w:line="240" w:lineRule="auto"/>
            </w:pPr>
            <w:r>
              <w:rPr>
                <w:rFonts w:ascii="Arial" w:hAnsi="Arial"/>
                <w:b w:val="0"/>
                <w:i w:val="0"/>
                <w:sz w:val="15"/>
              </w:rPr>
              <w:t>XGBoost/CatBoost; MLP; CNN/ResU-Net</w:t>
            </w:r>
          </w:p>
        </w:tc>
        <w:tc>
          <w:tcPr>
            <w:tcW w:type="dxa" w:w="2381"/>
            <w:vAlign w:val="center"/>
            <w:tcMar>
              <w:top w:w="70" w:type="dxa"/>
              <w:start w:w="75" w:type="dxa"/>
              <w:bottom w:w="70" w:type="dxa"/>
              <w:end w:w="75" w:type="dxa"/>
            </w:tcMar>
          </w:tcPr>
          <w:p>
            <w:pPr>
              <w:spacing w:after="0" w:line="240" w:lineRule="auto"/>
            </w:pPr>
            <w:r>
              <w:rPr>
                <w:rFonts w:ascii="Arial" w:hAnsi="Arial"/>
                <w:b w:val="0"/>
                <w:i w:val="0"/>
                <w:sz w:val="15"/>
              </w:rPr>
              <w:t>Có thể ưu tiên local/regional predictors; bias correction và event detection trực tiếp thường hiệu quả.</w:t>
            </w:r>
          </w:p>
        </w:tc>
      </w:tr>
      <w:tr>
        <w:trPr>
          <w:cantSplit w:val="true"/>
        </w:trPr>
        <w:tc>
          <w:tcPr>
            <w:tcW w:type="dxa" w:w="850"/>
            <w:vAlign w:val="center"/>
            <w:tcMar>
              <w:top w:w="70" w:type="dxa"/>
              <w:start w:w="75" w:type="dxa"/>
              <w:bottom w:w="70" w:type="dxa"/>
              <w:end w:w="75" w:type="dxa"/>
            </w:tcMar>
          </w:tcPr>
          <w:p>
            <w:pPr>
              <w:spacing w:after="0" w:line="240" w:lineRule="auto"/>
            </w:pPr>
            <w:r>
              <w:rPr>
                <w:rFonts w:ascii="Arial" w:hAnsi="Arial"/>
                <w:b w:val="0"/>
                <w:i w:val="0"/>
                <w:sz w:val="15"/>
              </w:rPr>
              <w:t>W3–W4</w:t>
            </w:r>
          </w:p>
        </w:tc>
        <w:tc>
          <w:tcPr>
            <w:tcW w:type="dxa" w:w="2154"/>
            <w:vAlign w:val="center"/>
            <w:tcMar>
              <w:top w:w="70" w:type="dxa"/>
              <w:start w:w="75" w:type="dxa"/>
              <w:bottom w:w="70" w:type="dxa"/>
              <w:end w:w="75" w:type="dxa"/>
            </w:tcMar>
          </w:tcPr>
          <w:p>
            <w:pPr>
              <w:spacing w:after="0" w:line="240" w:lineRule="auto"/>
            </w:pPr>
            <w:r>
              <w:rPr>
                <w:rFonts w:ascii="Arial" w:hAnsi="Arial"/>
                <w:b w:val="0"/>
                <w:i w:val="0"/>
                <w:sz w:val="15"/>
              </w:rPr>
              <w:t>Chuyển tiếp từ initial-condition skill sang slow/large-scale controls</w:t>
            </w:r>
          </w:p>
        </w:tc>
        <w:tc>
          <w:tcPr>
            <w:tcW w:type="dxa" w:w="3288"/>
            <w:vAlign w:val="center"/>
            <w:tcMar>
              <w:top w:w="70" w:type="dxa"/>
              <w:start w:w="75" w:type="dxa"/>
              <w:bottom w:w="70" w:type="dxa"/>
              <w:end w:w="75" w:type="dxa"/>
            </w:tcMar>
          </w:tcPr>
          <w:p>
            <w:pPr>
              <w:spacing w:after="0" w:line="240" w:lineRule="auto"/>
            </w:pPr>
            <w:r>
              <w:rPr>
                <w:rFonts w:ascii="Arial" w:hAnsi="Arial"/>
                <w:b w:val="0"/>
                <w:i w:val="0"/>
                <w:sz w:val="15"/>
              </w:rPr>
              <w:t>Các biến W1–W2 + SST regional/global; Z500/Z200; T200; MJO; ENSO; IOD; soil moisture; ensemble spread; large-scale spatial fields</w:t>
            </w:r>
          </w:p>
        </w:tc>
        <w:tc>
          <w:tcPr>
            <w:tcW w:type="dxa" w:w="2097"/>
            <w:vAlign w:val="center"/>
            <w:tcMar>
              <w:top w:w="70" w:type="dxa"/>
              <w:start w:w="75" w:type="dxa"/>
              <w:bottom w:w="70" w:type="dxa"/>
              <w:end w:w="75" w:type="dxa"/>
            </w:tcMar>
          </w:tcPr>
          <w:p>
            <w:pPr>
              <w:spacing w:after="0" w:line="240" w:lineRule="auto"/>
            </w:pPr>
            <w:r>
              <w:rPr>
                <w:rFonts w:ascii="Arial" w:hAnsi="Arial"/>
                <w:b w:val="0"/>
                <w:i w:val="0"/>
                <w:sz w:val="15"/>
              </w:rPr>
              <w:t>XGBoost/CatBoost + ResU-Net + Transformer/ConvLSTM</w:t>
            </w:r>
          </w:p>
        </w:tc>
        <w:tc>
          <w:tcPr>
            <w:tcW w:type="dxa" w:w="2381"/>
            <w:vAlign w:val="center"/>
            <w:tcMar>
              <w:top w:w="70" w:type="dxa"/>
              <w:start w:w="75" w:type="dxa"/>
              <w:bottom w:w="70" w:type="dxa"/>
              <w:end w:w="75" w:type="dxa"/>
            </w:tcMar>
          </w:tcPr>
          <w:p>
            <w:pPr>
              <w:spacing w:after="0" w:line="240" w:lineRule="auto"/>
            </w:pPr>
            <w:r>
              <w:rPr>
                <w:rFonts w:ascii="Arial" w:hAnsi="Arial"/>
                <w:b w:val="0"/>
                <w:i w:val="0"/>
                <w:sz w:val="15"/>
              </w:rPr>
              <w:t>Nên tăng spatial domain và teleconnection predictors; probabilistic formulation trở nên quan trọng.</w:t>
            </w:r>
          </w:p>
        </w:tc>
      </w:tr>
      <w:tr>
        <w:trPr>
          <w:cantSplit w:val="true"/>
        </w:trPr>
        <w:tc>
          <w:tcPr>
            <w:tcW w:type="dxa" w:w="850"/>
            <w:vAlign w:val="center"/>
            <w:tcMar>
              <w:top w:w="70" w:type="dxa"/>
              <w:start w:w="75" w:type="dxa"/>
              <w:bottom w:w="70" w:type="dxa"/>
              <w:end w:w="75" w:type="dxa"/>
            </w:tcMar>
          </w:tcPr>
          <w:p>
            <w:pPr>
              <w:spacing w:after="0" w:line="240" w:lineRule="auto"/>
            </w:pPr>
            <w:r>
              <w:rPr>
                <w:rFonts w:ascii="Arial" w:hAnsi="Arial"/>
                <w:b w:val="0"/>
                <w:i w:val="0"/>
                <w:sz w:val="15"/>
              </w:rPr>
              <w:t>W5–W6</w:t>
            </w:r>
          </w:p>
        </w:tc>
        <w:tc>
          <w:tcPr>
            <w:tcW w:type="dxa" w:w="2154"/>
            <w:vAlign w:val="center"/>
            <w:tcMar>
              <w:top w:w="70" w:type="dxa"/>
              <w:start w:w="75" w:type="dxa"/>
              <w:bottom w:w="70" w:type="dxa"/>
              <w:end w:w="75" w:type="dxa"/>
            </w:tcMar>
          </w:tcPr>
          <w:p>
            <w:pPr>
              <w:spacing w:after="0" w:line="240" w:lineRule="auto"/>
            </w:pPr>
            <w:r>
              <w:rPr>
                <w:rFonts w:ascii="Arial" w:hAnsi="Arial"/>
                <w:b w:val="0"/>
                <w:i w:val="0"/>
                <w:sz w:val="15"/>
              </w:rPr>
              <w:t>Khai thác weak predictable signals và slow boundary forcing</w:t>
            </w:r>
          </w:p>
        </w:tc>
        <w:tc>
          <w:tcPr>
            <w:tcW w:type="dxa" w:w="3288"/>
            <w:vAlign w:val="center"/>
            <w:tcMar>
              <w:top w:w="70" w:type="dxa"/>
              <w:start w:w="75" w:type="dxa"/>
              <w:bottom w:w="70" w:type="dxa"/>
              <w:end w:w="75" w:type="dxa"/>
            </w:tcMar>
          </w:tcPr>
          <w:p>
            <w:pPr>
              <w:spacing w:after="0" w:line="240" w:lineRule="auto"/>
            </w:pPr>
            <w:r>
              <w:rPr>
                <w:rFonts w:ascii="Arial" w:hAnsi="Arial"/>
                <w:b w:val="0"/>
                <w:i w:val="0"/>
                <w:sz w:val="15"/>
              </w:rPr>
              <w:t>SST Pacific/Indian/SCS; ENSO/IOD; MJO forecast state (nếu skill còn); Z200/Z500 patterns; T200/T850; soil-moisture memory; ensemble mean/spread; climatology/trend; large-scale circulation regimes</w:t>
            </w:r>
          </w:p>
        </w:tc>
        <w:tc>
          <w:tcPr>
            <w:tcW w:type="dxa" w:w="2097"/>
            <w:vAlign w:val="center"/>
            <w:tcMar>
              <w:top w:w="70" w:type="dxa"/>
              <w:start w:w="75" w:type="dxa"/>
              <w:bottom w:w="70" w:type="dxa"/>
              <w:end w:w="75" w:type="dxa"/>
            </w:tcMar>
          </w:tcPr>
          <w:p>
            <w:pPr>
              <w:spacing w:after="0" w:line="240" w:lineRule="auto"/>
            </w:pPr>
            <w:r>
              <w:rPr>
                <w:rFonts w:ascii="Arial" w:hAnsi="Arial"/>
                <w:b w:val="0"/>
                <w:i w:val="0"/>
                <w:sz w:val="15"/>
              </w:rPr>
              <w:t>ResU-Net; Transformer; U-Net+Transformer; XGBoost/CatBoost với engineered teleconnection features; probabilistic correction</w:t>
            </w:r>
          </w:p>
        </w:tc>
        <w:tc>
          <w:tcPr>
            <w:tcW w:type="dxa" w:w="2381"/>
            <w:vAlign w:val="center"/>
            <w:tcMar>
              <w:top w:w="70" w:type="dxa"/>
              <w:start w:w="75" w:type="dxa"/>
              <w:bottom w:w="70" w:type="dxa"/>
              <w:end w:w="75" w:type="dxa"/>
            </w:tcMar>
          </w:tcPr>
          <w:p>
            <w:pPr>
              <w:spacing w:after="0" w:line="240" w:lineRule="auto"/>
            </w:pPr>
            <w:r>
              <w:rPr>
                <w:rFonts w:ascii="Arial" w:hAnsi="Arial"/>
                <w:b w:val="0"/>
                <w:i w:val="0"/>
                <w:sz w:val="15"/>
              </w:rPr>
              <w:t>Không nên chỉ dùng local gridpoint inputs. Ưu tiên large-scale fields, slow variables và calibrated probability.</w:t>
            </w:r>
          </w:p>
        </w:tc>
      </w:tr>
    </w:tbl>
    <w:p>
      <w:pPr>
        <w:spacing w:after="100"/>
        <w:jc w:val="center"/>
      </w:pPr>
      <w:r>
        <w:rPr>
          <w:rFonts w:ascii="Arial" w:hAnsi="Arial"/>
          <w:b w:val="0"/>
          <w:i/>
          <w:color w:val="505050"/>
          <w:sz w:val="18"/>
        </w:rPr>
        <w:t>Bảng 2. Khuyến nghị lead-dependent models và predictors.</w:t>
      </w:r>
    </w:p>
    <w:p>
      <w:pPr>
        <w:pStyle w:val="Heading2"/>
        <w:keepNext/>
        <w:spacing w:before="100" w:after="80"/>
      </w:pPr>
      <w:r>
        <w:rPr>
          <w:rFonts w:ascii="Arial" w:hAnsi="Arial"/>
          <w:b/>
          <w:i w:val="0"/>
          <w:color w:val="373737"/>
          <w:sz w:val="23"/>
        </w:rPr>
        <w:t>3.1. Cách triển khai lead-dependent hợp lý</w:t>
      </w:r>
    </w:p>
    <w:p>
      <w:pPr>
        <w:pStyle w:val="ListBullet"/>
        <w:spacing w:after="40" w:line="252" w:lineRule="auto"/>
      </w:pPr>
      <w:r>
        <w:rPr>
          <w:rFonts w:ascii="Arial" w:hAnsi="Arial"/>
          <w:b w:val="0"/>
          <w:i w:val="0"/>
          <w:sz w:val="20"/>
        </w:rPr>
        <w:t>Conventional ML (XGBoost/CatBoost/MLP): nên train/tune model riêng cho W1, W2, …, W6. Đây là cách đơn giản, minh bạch và phù hợp với bias thay đổi theo lead.</w:t>
      </w:r>
    </w:p>
    <w:p>
      <w:pPr>
        <w:pStyle w:val="ListBullet"/>
        <w:spacing w:after="40" w:line="252" w:lineRule="auto"/>
      </w:pPr>
      <w:r>
        <w:rPr>
          <w:rFonts w:ascii="Arial" w:hAnsi="Arial"/>
          <w:b w:val="0"/>
          <w:i w:val="0"/>
          <w:sz w:val="20"/>
        </w:rPr>
        <w:t>Deep learning: có hai lựa chọn tốt: (i) separate model per lead; hoặc (ii) shared backbone + lead embedding / lead-specific heads. Phương án (ii) tiết kiệm data và cho phép chia sẻ representations giữa các lead.</w:t>
      </w:r>
    </w:p>
    <w:p>
      <w:pPr>
        <w:pStyle w:val="ListBullet"/>
        <w:spacing w:after="40" w:line="252" w:lineRule="auto"/>
      </w:pPr>
      <w:r>
        <w:rPr>
          <w:rFonts w:ascii="Arial" w:hAnsi="Arial"/>
          <w:b w:val="0"/>
          <w:i w:val="0"/>
          <w:sz w:val="20"/>
        </w:rPr>
        <w:t>Feature selection phải làm riêng theo lead (SHAP, permutation importance, ablation), nhưng chỉ giữ predictor có đóng góp ổn định qua các CV folds và có giải thích vật lý hợp lý.</w:t>
      </w:r>
    </w:p>
    <w:p>
      <w:pPr>
        <w:pStyle w:val="ListBullet"/>
        <w:spacing w:after="40" w:line="252" w:lineRule="auto"/>
      </w:pPr>
      <w:r>
        <w:rPr>
          <w:rFonts w:ascii="Arial" w:hAnsi="Arial"/>
          <w:b w:val="0"/>
          <w:i w:val="0"/>
          <w:sz w:val="20"/>
        </w:rPr>
        <w:t>Mọi teleconnection index dùng trong forecast phải được tính từ thông tin có sẵn tại thời điểm phát hành dự báo hoặc từ forecast outputs; tuyệt đối không dùng observed future indices vì gây leakage.</w:t>
      </w:r>
    </w:p>
    <w:p>
      <w:pPr>
        <w:pStyle w:val="Heading1"/>
        <w:keepNext/>
        <w:spacing w:before="160" w:after="80"/>
      </w:pPr>
      <w:r>
        <w:rPr>
          <w:rFonts w:ascii="Arial" w:hAnsi="Arial"/>
          <w:b/>
          <w:i w:val="0"/>
          <w:color w:val="1F4E79"/>
          <w:sz w:val="28"/>
        </w:rPr>
        <w:t>4. Có nên xây dựng mô hình riêng cho từng sub-region R1–R7?</w:t>
      </w:r>
    </w:p>
    <w:p>
      <w:pPr>
        <w:spacing w:after="80" w:line="259" w:lineRule="auto"/>
      </w:pPr>
      <w:r>
        <w:rPr>
          <w:rFonts w:ascii="Arial" w:hAnsi="Arial"/>
          <w:b w:val="0"/>
          <w:i w:val="0"/>
          <w:sz w:val="21"/>
        </w:rPr>
        <w:t>Khuyến nghị: NÊN làm cho mô hình nhận biết vùng, nhưng KHÔNG nên bắt đầu bằng 7 hệ độc lập hoàn toàn. Việt Nam có tính không đồng nhất khí hậu, địa hình và cơ chế heatwave lớn, nên cùng một error correction hoặc event threshold khó tối ưu đồng đều cho R1–R7. Tuy nhiên, tách cứng sẽ làm giảm mạnh số event samples trong từng vùng và tăng nguy cơ overfitting.</w:t>
      </w:r>
    </w:p>
    <w:tbl>
      <w:tblPr>
        <w:tblStyle w:val="TableGrid"/>
        <w:tblW w:type="auto" w:w="0"/>
        <w:jc w:val="center"/>
        <w:tblLook w:firstColumn="1" w:firstRow="1" w:lastColumn="0" w:lastRow="0" w:noHBand="0" w:noVBand="1" w:val="04A0"/>
      </w:tblPr>
      <w:tblGrid>
        <w:gridCol w:w="2466"/>
        <w:gridCol w:w="2466"/>
        <w:gridCol w:w="2466"/>
        <w:gridCol w:w="2466"/>
      </w:tblGrid>
      <w:tr>
        <w:trPr>
          <w:cantSplit w:val="true"/>
          <w:tblHeader w:val="true"/>
        </w:trPr>
        <w:tc>
          <w:tcPr>
            <w:tcW w:type="dxa" w:w="2381"/>
            <w:vAlign w:val="center"/>
            <w:tcMar>
              <w:top w:w="70" w:type="dxa"/>
              <w:start w:w="75" w:type="dxa"/>
              <w:bottom w:w="70" w:type="dxa"/>
              <w:end w:w="75" w:type="dxa"/>
            </w:tcMar>
            <w:shd w:fill="D9EAF7"/>
          </w:tcPr>
          <w:p>
            <w:pPr>
              <w:spacing w:after="0" w:line="240" w:lineRule="auto"/>
            </w:pPr>
            <w:r>
              <w:rPr>
                <w:rFonts w:ascii="Arial" w:hAnsi="Arial"/>
                <w:b/>
                <w:i w:val="0"/>
                <w:sz w:val="17"/>
              </w:rPr>
              <w:t>Kiến trúc</w:t>
            </w:r>
          </w:p>
        </w:tc>
        <w:tc>
          <w:tcPr>
            <w:tcW w:type="dxa" w:w="2835"/>
            <w:vAlign w:val="center"/>
            <w:tcMar>
              <w:top w:w="70" w:type="dxa"/>
              <w:start w:w="75" w:type="dxa"/>
              <w:bottom w:w="70" w:type="dxa"/>
              <w:end w:w="75" w:type="dxa"/>
            </w:tcMar>
            <w:shd w:fill="D9EAF7"/>
          </w:tcPr>
          <w:p>
            <w:pPr>
              <w:spacing w:after="0" w:line="240" w:lineRule="auto"/>
            </w:pPr>
            <w:r>
              <w:rPr>
                <w:rFonts w:ascii="Arial" w:hAnsi="Arial"/>
                <w:b/>
                <w:i w:val="0"/>
                <w:sz w:val="17"/>
              </w:rPr>
              <w:t>Ưu điểm</w:t>
            </w:r>
          </w:p>
        </w:tc>
        <w:tc>
          <w:tcPr>
            <w:tcW w:type="dxa" w:w="2835"/>
            <w:vAlign w:val="center"/>
            <w:tcMar>
              <w:top w:w="70" w:type="dxa"/>
              <w:start w:w="75" w:type="dxa"/>
              <w:bottom w:w="70" w:type="dxa"/>
              <w:end w:w="75" w:type="dxa"/>
            </w:tcMar>
            <w:shd w:fill="D9EAF7"/>
          </w:tcPr>
          <w:p>
            <w:pPr>
              <w:spacing w:after="0" w:line="240" w:lineRule="auto"/>
            </w:pPr>
            <w:r>
              <w:rPr>
                <w:rFonts w:ascii="Arial" w:hAnsi="Arial"/>
                <w:b/>
                <w:i w:val="0"/>
                <w:sz w:val="17"/>
              </w:rPr>
              <w:t>Rủi ro</w:t>
            </w:r>
          </w:p>
        </w:tc>
        <w:tc>
          <w:tcPr>
            <w:tcW w:type="dxa" w:w="1984"/>
            <w:vAlign w:val="center"/>
            <w:tcMar>
              <w:top w:w="70" w:type="dxa"/>
              <w:start w:w="75" w:type="dxa"/>
              <w:bottom w:w="70" w:type="dxa"/>
              <w:end w:w="75" w:type="dxa"/>
            </w:tcMar>
            <w:shd w:fill="D9EAF7"/>
          </w:tcPr>
          <w:p>
            <w:pPr>
              <w:spacing w:after="0" w:line="240" w:lineRule="auto"/>
            </w:pPr>
            <w:r>
              <w:rPr>
                <w:rFonts w:ascii="Arial" w:hAnsi="Arial"/>
                <w:b/>
                <w:i w:val="0"/>
                <w:sz w:val="17"/>
              </w:rPr>
              <w:t>Khuyến nghị</w:t>
            </w:r>
          </w:p>
        </w:tc>
      </w:tr>
      <w:tr>
        <w:trPr>
          <w:cantSplit w:val="true"/>
        </w:trPr>
        <w:tc>
          <w:tcPr>
            <w:tcW w:type="dxa" w:w="2381"/>
            <w:vAlign w:val="center"/>
            <w:tcMar>
              <w:top w:w="70" w:type="dxa"/>
              <w:start w:w="75" w:type="dxa"/>
              <w:bottom w:w="70" w:type="dxa"/>
              <w:end w:w="75" w:type="dxa"/>
            </w:tcMar>
          </w:tcPr>
          <w:p>
            <w:pPr>
              <w:spacing w:after="0" w:line="240" w:lineRule="auto"/>
            </w:pPr>
            <w:r>
              <w:rPr>
                <w:rFonts w:ascii="Arial" w:hAnsi="Arial"/>
                <w:b w:val="0"/>
                <w:i w:val="0"/>
                <w:sz w:val="17"/>
              </w:rPr>
              <w:t>A. Một national model duy nhất</w:t>
            </w:r>
          </w:p>
        </w:tc>
        <w:tc>
          <w:tcPr>
            <w:tcW w:type="dxa" w:w="2835"/>
            <w:vAlign w:val="center"/>
            <w:tcMar>
              <w:top w:w="70" w:type="dxa"/>
              <w:start w:w="75" w:type="dxa"/>
              <w:bottom w:w="70" w:type="dxa"/>
              <w:end w:w="75" w:type="dxa"/>
            </w:tcMar>
          </w:tcPr>
          <w:p>
            <w:pPr>
              <w:spacing w:after="0" w:line="240" w:lineRule="auto"/>
            </w:pPr>
            <w:r>
              <w:rPr>
                <w:rFonts w:ascii="Arial" w:hAnsi="Arial"/>
                <w:b w:val="0"/>
                <w:i w:val="0"/>
                <w:sz w:val="17"/>
              </w:rPr>
              <w:t>Dữ liệu lớn nhất; đơn giản; spatial continuity tốt</w:t>
            </w:r>
          </w:p>
        </w:tc>
        <w:tc>
          <w:tcPr>
            <w:tcW w:type="dxa" w:w="2835"/>
            <w:vAlign w:val="center"/>
            <w:tcMar>
              <w:top w:w="70" w:type="dxa"/>
              <w:start w:w="75" w:type="dxa"/>
              <w:bottom w:w="70" w:type="dxa"/>
              <w:end w:w="75" w:type="dxa"/>
            </w:tcMar>
          </w:tcPr>
          <w:p>
            <w:pPr>
              <w:spacing w:after="0" w:line="240" w:lineRule="auto"/>
            </w:pPr>
            <w:r>
              <w:rPr>
                <w:rFonts w:ascii="Arial" w:hAnsi="Arial"/>
                <w:b w:val="0"/>
                <w:i w:val="0"/>
                <w:sz w:val="17"/>
              </w:rPr>
              <w:t>Có thể làm mờ regional mechanisms/biases</w:t>
            </w:r>
          </w:p>
        </w:tc>
        <w:tc>
          <w:tcPr>
            <w:tcW w:type="dxa" w:w="1984"/>
            <w:vAlign w:val="center"/>
            <w:tcMar>
              <w:top w:w="70" w:type="dxa"/>
              <w:start w:w="75" w:type="dxa"/>
              <w:bottom w:w="70" w:type="dxa"/>
              <w:end w:w="75" w:type="dxa"/>
            </w:tcMar>
          </w:tcPr>
          <w:p>
            <w:pPr>
              <w:spacing w:after="0" w:line="240" w:lineRule="auto"/>
            </w:pPr>
            <w:r>
              <w:rPr>
                <w:rFonts w:ascii="Arial" w:hAnsi="Arial"/>
                <w:b w:val="0"/>
                <w:i w:val="0"/>
                <w:sz w:val="17"/>
              </w:rPr>
              <w:t>Baseline bắt buộc</w:t>
            </w:r>
          </w:p>
        </w:tc>
      </w:tr>
      <w:tr>
        <w:trPr>
          <w:cantSplit w:val="true"/>
        </w:trPr>
        <w:tc>
          <w:tcPr>
            <w:tcW w:type="dxa" w:w="2381"/>
            <w:vAlign w:val="center"/>
            <w:tcMar>
              <w:top w:w="70" w:type="dxa"/>
              <w:start w:w="75" w:type="dxa"/>
              <w:bottom w:w="70" w:type="dxa"/>
              <w:end w:w="75" w:type="dxa"/>
            </w:tcMar>
          </w:tcPr>
          <w:p>
            <w:pPr>
              <w:spacing w:after="0" w:line="240" w:lineRule="auto"/>
            </w:pPr>
            <w:r>
              <w:rPr>
                <w:rFonts w:ascii="Arial" w:hAnsi="Arial"/>
                <w:b w:val="0"/>
                <w:i w:val="0"/>
                <w:sz w:val="17"/>
              </w:rPr>
              <w:t>B. 7 regional models độc lập</w:t>
            </w:r>
          </w:p>
        </w:tc>
        <w:tc>
          <w:tcPr>
            <w:tcW w:type="dxa" w:w="2835"/>
            <w:vAlign w:val="center"/>
            <w:tcMar>
              <w:top w:w="70" w:type="dxa"/>
              <w:start w:w="75" w:type="dxa"/>
              <w:bottom w:w="70" w:type="dxa"/>
              <w:end w:w="75" w:type="dxa"/>
            </w:tcMar>
          </w:tcPr>
          <w:p>
            <w:pPr>
              <w:spacing w:after="0" w:line="240" w:lineRule="auto"/>
            </w:pPr>
            <w:r>
              <w:rPr>
                <w:rFonts w:ascii="Arial" w:hAnsi="Arial"/>
                <w:b w:val="0"/>
                <w:i w:val="0"/>
                <w:sz w:val="17"/>
              </w:rPr>
              <w:t>Thích ứng tốt với từng vùng; dễ interpret</w:t>
            </w:r>
          </w:p>
        </w:tc>
        <w:tc>
          <w:tcPr>
            <w:tcW w:type="dxa" w:w="2835"/>
            <w:vAlign w:val="center"/>
            <w:tcMar>
              <w:top w:w="70" w:type="dxa"/>
              <w:start w:w="75" w:type="dxa"/>
              <w:bottom w:w="70" w:type="dxa"/>
              <w:end w:w="75" w:type="dxa"/>
            </w:tcMar>
          </w:tcPr>
          <w:p>
            <w:pPr>
              <w:spacing w:after="0" w:line="240" w:lineRule="auto"/>
            </w:pPr>
            <w:r>
              <w:rPr>
                <w:rFonts w:ascii="Arial" w:hAnsi="Arial"/>
                <w:b w:val="0"/>
                <w:i w:val="0"/>
                <w:sz w:val="17"/>
              </w:rPr>
              <w:t>Sample giảm mạnh; unstable với rare events; khó bảo đảm continuity</w:t>
            </w:r>
          </w:p>
        </w:tc>
        <w:tc>
          <w:tcPr>
            <w:tcW w:type="dxa" w:w="1984"/>
            <w:vAlign w:val="center"/>
            <w:tcMar>
              <w:top w:w="70" w:type="dxa"/>
              <w:start w:w="75" w:type="dxa"/>
              <w:bottom w:w="70" w:type="dxa"/>
              <w:end w:w="75" w:type="dxa"/>
            </w:tcMar>
          </w:tcPr>
          <w:p>
            <w:pPr>
              <w:spacing w:after="0" w:line="240" w:lineRule="auto"/>
            </w:pPr>
            <w:r>
              <w:rPr>
                <w:rFonts w:ascii="Arial" w:hAnsi="Arial"/>
                <w:b w:val="0"/>
                <w:i w:val="0"/>
                <w:sz w:val="17"/>
              </w:rPr>
              <w:t>Chỉ dùng nếu CV chứng minh rõ lợi ích</w:t>
            </w:r>
          </w:p>
        </w:tc>
      </w:tr>
      <w:tr>
        <w:trPr>
          <w:cantSplit w:val="true"/>
        </w:trPr>
        <w:tc>
          <w:tcPr>
            <w:tcW w:type="dxa" w:w="2381"/>
            <w:vAlign w:val="center"/>
            <w:tcMar>
              <w:top w:w="70" w:type="dxa"/>
              <w:start w:w="75" w:type="dxa"/>
              <w:bottom w:w="70" w:type="dxa"/>
              <w:end w:w="75" w:type="dxa"/>
            </w:tcMar>
          </w:tcPr>
          <w:p>
            <w:pPr>
              <w:spacing w:after="0" w:line="240" w:lineRule="auto"/>
            </w:pPr>
            <w:r>
              <w:rPr>
                <w:rFonts w:ascii="Arial" w:hAnsi="Arial"/>
                <w:b w:val="0"/>
                <w:i w:val="0"/>
                <w:sz w:val="17"/>
              </w:rPr>
              <w:t>C. Shared national backbone + region-aware heads/calibration</w:t>
            </w:r>
          </w:p>
        </w:tc>
        <w:tc>
          <w:tcPr>
            <w:tcW w:type="dxa" w:w="2835"/>
            <w:vAlign w:val="center"/>
            <w:tcMar>
              <w:top w:w="70" w:type="dxa"/>
              <w:start w:w="75" w:type="dxa"/>
              <w:bottom w:w="70" w:type="dxa"/>
              <w:end w:w="75" w:type="dxa"/>
            </w:tcMar>
          </w:tcPr>
          <w:p>
            <w:pPr>
              <w:spacing w:after="0" w:line="240" w:lineRule="auto"/>
            </w:pPr>
            <w:r>
              <w:rPr>
                <w:rFonts w:ascii="Arial" w:hAnsi="Arial"/>
                <w:b w:val="0"/>
                <w:i w:val="0"/>
                <w:sz w:val="17"/>
              </w:rPr>
              <w:t>Chia sẻ signal chung nhưng cho phép regional adaptation; cân bằng sample và specificity</w:t>
            </w:r>
          </w:p>
        </w:tc>
        <w:tc>
          <w:tcPr>
            <w:tcW w:type="dxa" w:w="2835"/>
            <w:vAlign w:val="center"/>
            <w:tcMar>
              <w:top w:w="70" w:type="dxa"/>
              <w:start w:w="75" w:type="dxa"/>
              <w:bottom w:w="70" w:type="dxa"/>
              <w:end w:w="75" w:type="dxa"/>
            </w:tcMar>
          </w:tcPr>
          <w:p>
            <w:pPr>
              <w:spacing w:after="0" w:line="240" w:lineRule="auto"/>
            </w:pPr>
            <w:r>
              <w:rPr>
                <w:rFonts w:ascii="Arial" w:hAnsi="Arial"/>
                <w:b w:val="0"/>
                <w:i w:val="0"/>
                <w:sz w:val="17"/>
              </w:rPr>
              <w:t>Triển khai phức tạp hơn</w:t>
            </w:r>
          </w:p>
        </w:tc>
        <w:tc>
          <w:tcPr>
            <w:tcW w:type="dxa" w:w="1984"/>
            <w:vAlign w:val="center"/>
            <w:tcMar>
              <w:top w:w="70" w:type="dxa"/>
              <w:start w:w="75" w:type="dxa"/>
              <w:bottom w:w="70" w:type="dxa"/>
              <w:end w:w="75" w:type="dxa"/>
            </w:tcMar>
          </w:tcPr>
          <w:p>
            <w:pPr>
              <w:spacing w:after="0" w:line="240" w:lineRule="auto"/>
            </w:pPr>
            <w:r>
              <w:rPr>
                <w:rFonts w:ascii="Arial" w:hAnsi="Arial"/>
                <w:b w:val="0"/>
                <w:i w:val="0"/>
                <w:sz w:val="17"/>
              </w:rPr>
              <w:t>Khuyến nghị chính</w:t>
            </w:r>
          </w:p>
        </w:tc>
      </w:tr>
    </w:tbl>
    <w:p>
      <w:pPr>
        <w:spacing w:after="100"/>
        <w:jc w:val="center"/>
      </w:pPr>
      <w:r>
        <w:rPr>
          <w:rFonts w:ascii="Arial" w:hAnsi="Arial"/>
          <w:b w:val="0"/>
          <w:i/>
          <w:color w:val="505050"/>
          <w:sz w:val="18"/>
        </w:rPr>
        <w:t>Bảng 3. Ba chiến lược regionalization cho R1–R7.</w:t>
      </w:r>
    </w:p>
    <w:p>
      <w:pPr>
        <w:pStyle w:val="Heading2"/>
        <w:keepNext/>
        <w:spacing w:before="100" w:after="80"/>
      </w:pPr>
      <w:r>
        <w:rPr>
          <w:rFonts w:ascii="Arial" w:hAnsi="Arial"/>
          <w:b/>
          <w:i w:val="0"/>
          <w:color w:val="373737"/>
          <w:sz w:val="23"/>
        </w:rPr>
        <w:t>4.1. Thiết kế tôi ưu tiên</w:t>
      </w:r>
    </w:p>
    <w:p>
      <w:pPr>
        <w:spacing w:after="80" w:line="259" w:lineRule="auto"/>
      </w:pPr>
      <w:r>
        <w:rPr>
          <w:rFonts w:ascii="Arial" w:hAnsi="Arial"/>
          <w:b w:val="0"/>
          <w:i w:val="0"/>
          <w:sz w:val="21"/>
        </w:rPr>
        <w:t>Đối với boosting/MLP: train một model toàn Việt Nam với các biến region ID, lat/lon, elevation, climatological threshold và season/month encoding; sau đó calibration riêng theo Rj. Đồng thời huấn luyện 7 regional challengers để kiểm tra xem vùng nào thực sự cần model riêng.</w:t>
      </w:r>
    </w:p>
    <w:p>
      <w:pPr>
        <w:spacing w:after="80" w:line="259" w:lineRule="auto"/>
      </w:pPr>
      <w:r>
        <w:rPr>
          <w:rFonts w:ascii="Arial" w:hAnsi="Arial"/>
          <w:b w:val="0"/>
          <w:i w:val="0"/>
          <w:sz w:val="21"/>
        </w:rPr>
        <w:t>Đối với CNN/U-Net/Transformer: giữ spatial field toàn Việt Nam hoặc domain lớn hơn để không mất teleconnection/circulation context, nhưng dùng region-aware loss, region embedding hoặc 7 output heads/calibration layers. Đây là dạng hierarchical/multi-task learning phù hợp hơn việc cắt bản đồ thành 7 miền độc lập.</w:t>
      </w:r>
    </w:p>
    <w:p>
      <w:pPr>
        <w:pStyle w:val="ListBullet"/>
        <w:spacing w:after="40" w:line="252" w:lineRule="auto"/>
      </w:pPr>
      <w:r>
        <w:rPr>
          <w:rFonts w:ascii="Arial" w:hAnsi="Arial"/>
          <w:b w:val="0"/>
          <w:i w:val="0"/>
          <w:sz w:val="20"/>
        </w:rPr>
        <w:t>Có thể tối ưu threshold P0 của gridpoint probability theo lead × region nếu sample đủ.</w:t>
      </w:r>
    </w:p>
    <w:p>
      <w:pPr>
        <w:pStyle w:val="ListBullet"/>
        <w:spacing w:after="40" w:line="252" w:lineRule="auto"/>
      </w:pPr>
      <w:r>
        <w:rPr>
          <w:rFonts w:ascii="Arial" w:hAnsi="Arial"/>
          <w:b w:val="0"/>
          <w:i w:val="0"/>
          <w:sz w:val="20"/>
        </w:rPr>
        <w:t>Threshold P_thres để chuyển tỷ lệ gridpoint EHDE thành regional event cũng nên được phép khác giữa R1–R7 và giữa lead, nhưng phải tuning trong training/CV.</w:t>
      </w:r>
    </w:p>
    <w:p>
      <w:pPr>
        <w:pStyle w:val="ListBullet"/>
        <w:spacing w:after="40" w:line="252" w:lineRule="auto"/>
      </w:pPr>
      <w:r>
        <w:rPr>
          <w:rFonts w:ascii="Arial" w:hAnsi="Arial"/>
          <w:b w:val="0"/>
          <w:i w:val="0"/>
          <w:sz w:val="20"/>
        </w:rPr>
        <w:t>Không random-split theo gridpoint. Validation cần block theo năm/initialization để tránh cùng một synoptic event xuất hiện ở cả train và test.</w:t>
      </w:r>
    </w:p>
    <w:p>
      <w:pPr>
        <w:pStyle w:val="Heading1"/>
        <w:keepNext/>
        <w:spacing w:before="160" w:after="80"/>
      </w:pPr>
      <w:r>
        <w:rPr>
          <w:rFonts w:ascii="Arial" w:hAnsi="Arial"/>
          <w:b/>
          <w:i w:val="0"/>
          <w:color w:val="1F4E79"/>
          <w:sz w:val="28"/>
        </w:rPr>
        <w:t>5. Có nên chia theo mùa?</w:t>
      </w:r>
    </w:p>
    <w:p>
      <w:pPr>
        <w:spacing w:after="80" w:line="259" w:lineRule="auto"/>
      </w:pPr>
      <w:r>
        <w:rPr>
          <w:rFonts w:ascii="Arial" w:hAnsi="Arial"/>
          <w:b w:val="0"/>
          <w:i w:val="0"/>
          <w:sz w:val="21"/>
        </w:rPr>
        <w:t>Khuyến nghị: NÊN làm season-aware, nhưng không mặc định tách thành bốn model DJF/MAM/JJA/SON. Với heatwave, “mùa có ý nghĩa dự báo” nên được xác định theo climatology và cơ chế nóng của từng region, vì thời kỳ heatwave hoạt động mạnh và cơ chế chi phối có thể khác giữa R1–R7.</w:t>
      </w:r>
    </w:p>
    <w:tbl>
      <w:tblPr>
        <w:tblStyle w:val="TableGrid"/>
        <w:tblW w:type="auto" w:w="0"/>
        <w:jc w:val="center"/>
        <w:tblLook w:firstColumn="1" w:firstRow="1" w:lastColumn="0" w:lastRow="0" w:noHBand="0" w:noVBand="1" w:val="04A0"/>
      </w:tblPr>
      <w:tblGrid>
        <w:gridCol w:w="2466"/>
        <w:gridCol w:w="2466"/>
        <w:gridCol w:w="2466"/>
        <w:gridCol w:w="2466"/>
      </w:tblGrid>
      <w:tr>
        <w:trPr>
          <w:cantSplit w:val="true"/>
          <w:tblHeader w:val="true"/>
        </w:trPr>
        <w:tc>
          <w:tcPr>
            <w:tcW w:type="dxa" w:w="2551"/>
            <w:vAlign w:val="center"/>
            <w:tcMar>
              <w:top w:w="70" w:type="dxa"/>
              <w:start w:w="75" w:type="dxa"/>
              <w:bottom w:w="70" w:type="dxa"/>
              <w:end w:w="75" w:type="dxa"/>
            </w:tcMar>
            <w:shd w:fill="D9EAF7"/>
          </w:tcPr>
          <w:p>
            <w:pPr>
              <w:spacing w:after="0" w:line="240" w:lineRule="auto"/>
            </w:pPr>
            <w:r>
              <w:rPr>
                <w:rFonts w:ascii="Arial" w:hAnsi="Arial"/>
                <w:b/>
                <w:i w:val="0"/>
                <w:sz w:val="17"/>
              </w:rPr>
              <w:t>Cách làm</w:t>
            </w:r>
          </w:p>
        </w:tc>
        <w:tc>
          <w:tcPr>
            <w:tcW w:type="dxa" w:w="2721"/>
            <w:vAlign w:val="center"/>
            <w:tcMar>
              <w:top w:w="70" w:type="dxa"/>
              <w:start w:w="75" w:type="dxa"/>
              <w:bottom w:w="70" w:type="dxa"/>
              <w:end w:w="75" w:type="dxa"/>
            </w:tcMar>
            <w:shd w:fill="D9EAF7"/>
          </w:tcPr>
          <w:p>
            <w:pPr>
              <w:spacing w:after="0" w:line="240" w:lineRule="auto"/>
            </w:pPr>
            <w:r>
              <w:rPr>
                <w:rFonts w:ascii="Arial" w:hAnsi="Arial"/>
                <w:b/>
                <w:i w:val="0"/>
                <w:sz w:val="17"/>
              </w:rPr>
              <w:t>Ưu điểm</w:t>
            </w:r>
          </w:p>
        </w:tc>
        <w:tc>
          <w:tcPr>
            <w:tcW w:type="dxa" w:w="2948"/>
            <w:vAlign w:val="center"/>
            <w:tcMar>
              <w:top w:w="70" w:type="dxa"/>
              <w:start w:w="75" w:type="dxa"/>
              <w:bottom w:w="70" w:type="dxa"/>
              <w:end w:w="75" w:type="dxa"/>
            </w:tcMar>
            <w:shd w:fill="D9EAF7"/>
          </w:tcPr>
          <w:p>
            <w:pPr>
              <w:spacing w:after="0" w:line="240" w:lineRule="auto"/>
            </w:pPr>
            <w:r>
              <w:rPr>
                <w:rFonts w:ascii="Arial" w:hAnsi="Arial"/>
                <w:b/>
                <w:i w:val="0"/>
                <w:sz w:val="17"/>
              </w:rPr>
              <w:t>Hạn chế</w:t>
            </w:r>
          </w:p>
        </w:tc>
        <w:tc>
          <w:tcPr>
            <w:tcW w:type="dxa" w:w="1871"/>
            <w:vAlign w:val="center"/>
            <w:tcMar>
              <w:top w:w="70" w:type="dxa"/>
              <w:start w:w="75" w:type="dxa"/>
              <w:bottom w:w="70" w:type="dxa"/>
              <w:end w:w="75" w:type="dxa"/>
            </w:tcMar>
            <w:shd w:fill="D9EAF7"/>
          </w:tcPr>
          <w:p>
            <w:pPr>
              <w:spacing w:after="0" w:line="240" w:lineRule="auto"/>
            </w:pPr>
            <w:r>
              <w:rPr>
                <w:rFonts w:ascii="Arial" w:hAnsi="Arial"/>
                <w:b/>
                <w:i w:val="0"/>
                <w:sz w:val="17"/>
              </w:rPr>
              <w:t>Đánh giá</w:t>
            </w:r>
          </w:p>
        </w:tc>
      </w:tr>
      <w:tr>
        <w:trPr>
          <w:cantSplit w:val="true"/>
        </w:trPr>
        <w:tc>
          <w:tcPr>
            <w:tcW w:type="dxa" w:w="2551"/>
            <w:vAlign w:val="center"/>
            <w:tcMar>
              <w:top w:w="70" w:type="dxa"/>
              <w:start w:w="75" w:type="dxa"/>
              <w:bottom w:w="70" w:type="dxa"/>
              <w:end w:w="75" w:type="dxa"/>
            </w:tcMar>
          </w:tcPr>
          <w:p>
            <w:pPr>
              <w:spacing w:after="0" w:line="240" w:lineRule="auto"/>
            </w:pPr>
            <w:r>
              <w:rPr>
                <w:rFonts w:ascii="Arial" w:hAnsi="Arial"/>
                <w:b w:val="0"/>
                <w:i w:val="0"/>
                <w:sz w:val="17"/>
              </w:rPr>
              <w:t>Tách 4 mùa lịch</w:t>
            </w:r>
          </w:p>
        </w:tc>
        <w:tc>
          <w:tcPr>
            <w:tcW w:type="dxa" w:w="2721"/>
            <w:vAlign w:val="center"/>
            <w:tcMar>
              <w:top w:w="70" w:type="dxa"/>
              <w:start w:w="75" w:type="dxa"/>
              <w:bottom w:w="70" w:type="dxa"/>
              <w:end w:w="75" w:type="dxa"/>
            </w:tcMar>
          </w:tcPr>
          <w:p>
            <w:pPr>
              <w:spacing w:after="0" w:line="240" w:lineRule="auto"/>
            </w:pPr>
            <w:r>
              <w:rPr>
                <w:rFonts w:ascii="Arial" w:hAnsi="Arial"/>
                <w:b w:val="0"/>
                <w:i w:val="0"/>
                <w:sz w:val="17"/>
              </w:rPr>
              <w:t>Đơn giản</w:t>
            </w:r>
          </w:p>
        </w:tc>
        <w:tc>
          <w:tcPr>
            <w:tcW w:type="dxa" w:w="2948"/>
            <w:vAlign w:val="center"/>
            <w:tcMar>
              <w:top w:w="70" w:type="dxa"/>
              <w:start w:w="75" w:type="dxa"/>
              <w:bottom w:w="70" w:type="dxa"/>
              <w:end w:w="75" w:type="dxa"/>
            </w:tcMar>
          </w:tcPr>
          <w:p>
            <w:pPr>
              <w:spacing w:after="0" w:line="240" w:lineRule="auto"/>
            </w:pPr>
            <w:r>
              <w:rPr>
                <w:rFonts w:ascii="Arial" w:hAnsi="Arial"/>
                <w:b w:val="0"/>
                <w:i w:val="0"/>
                <w:sz w:val="17"/>
              </w:rPr>
              <w:t>Không bám sát mùa heatwave từng vùng; nhiều mùa gần như không có event</w:t>
            </w:r>
          </w:p>
        </w:tc>
        <w:tc>
          <w:tcPr>
            <w:tcW w:type="dxa" w:w="1871"/>
            <w:vAlign w:val="center"/>
            <w:tcMar>
              <w:top w:w="70" w:type="dxa"/>
              <w:start w:w="75" w:type="dxa"/>
              <w:bottom w:w="70" w:type="dxa"/>
              <w:end w:w="75" w:type="dxa"/>
            </w:tcMar>
          </w:tcPr>
          <w:p>
            <w:pPr>
              <w:spacing w:after="0" w:line="240" w:lineRule="auto"/>
            </w:pPr>
            <w:r>
              <w:rPr>
                <w:rFonts w:ascii="Arial" w:hAnsi="Arial"/>
                <w:b w:val="0"/>
                <w:i w:val="0"/>
                <w:sz w:val="17"/>
              </w:rPr>
              <w:t>Không ưu tiên</w:t>
            </w:r>
          </w:p>
        </w:tc>
      </w:tr>
      <w:tr>
        <w:trPr>
          <w:cantSplit w:val="true"/>
        </w:trPr>
        <w:tc>
          <w:tcPr>
            <w:tcW w:type="dxa" w:w="2551"/>
            <w:vAlign w:val="center"/>
            <w:tcMar>
              <w:top w:w="70" w:type="dxa"/>
              <w:start w:w="75" w:type="dxa"/>
              <w:bottom w:w="70" w:type="dxa"/>
              <w:end w:w="75" w:type="dxa"/>
            </w:tcMar>
          </w:tcPr>
          <w:p>
            <w:pPr>
              <w:spacing w:after="0" w:line="240" w:lineRule="auto"/>
            </w:pPr>
            <w:r>
              <w:rPr>
                <w:rFonts w:ascii="Arial" w:hAnsi="Arial"/>
                <w:b w:val="0"/>
                <w:i w:val="0"/>
                <w:sz w:val="17"/>
              </w:rPr>
              <w:t>Một model cả năm + month/season encoding</w:t>
            </w:r>
          </w:p>
        </w:tc>
        <w:tc>
          <w:tcPr>
            <w:tcW w:type="dxa" w:w="2721"/>
            <w:vAlign w:val="center"/>
            <w:tcMar>
              <w:top w:w="70" w:type="dxa"/>
              <w:start w:w="75" w:type="dxa"/>
              <w:bottom w:w="70" w:type="dxa"/>
              <w:end w:w="75" w:type="dxa"/>
            </w:tcMar>
          </w:tcPr>
          <w:p>
            <w:pPr>
              <w:spacing w:after="0" w:line="240" w:lineRule="auto"/>
            </w:pPr>
            <w:r>
              <w:rPr>
                <w:rFonts w:ascii="Arial" w:hAnsi="Arial"/>
                <w:b w:val="0"/>
                <w:i w:val="0"/>
                <w:sz w:val="17"/>
              </w:rPr>
              <w:t>Giữ sample lớn; model tự học seasonality</w:t>
            </w:r>
          </w:p>
        </w:tc>
        <w:tc>
          <w:tcPr>
            <w:tcW w:type="dxa" w:w="2948"/>
            <w:vAlign w:val="center"/>
            <w:tcMar>
              <w:top w:w="70" w:type="dxa"/>
              <w:start w:w="75" w:type="dxa"/>
              <w:bottom w:w="70" w:type="dxa"/>
              <w:end w:w="75" w:type="dxa"/>
            </w:tcMar>
          </w:tcPr>
          <w:p>
            <w:pPr>
              <w:spacing w:after="0" w:line="240" w:lineRule="auto"/>
            </w:pPr>
            <w:r>
              <w:rPr>
                <w:rFonts w:ascii="Arial" w:hAnsi="Arial"/>
                <w:b w:val="0"/>
                <w:i w:val="0"/>
                <w:sz w:val="17"/>
              </w:rPr>
              <w:t>Có thể chưa đủ nếu cơ chế mùa thay đổi mạnh</w:t>
            </w:r>
          </w:p>
        </w:tc>
        <w:tc>
          <w:tcPr>
            <w:tcW w:type="dxa" w:w="1871"/>
            <w:vAlign w:val="center"/>
            <w:tcMar>
              <w:top w:w="70" w:type="dxa"/>
              <w:start w:w="75" w:type="dxa"/>
              <w:bottom w:w="70" w:type="dxa"/>
              <w:end w:w="75" w:type="dxa"/>
            </w:tcMar>
          </w:tcPr>
          <w:p>
            <w:pPr>
              <w:spacing w:after="0" w:line="240" w:lineRule="auto"/>
            </w:pPr>
            <w:r>
              <w:rPr>
                <w:rFonts w:ascii="Arial" w:hAnsi="Arial"/>
                <w:b w:val="0"/>
                <w:i w:val="0"/>
                <w:sz w:val="17"/>
              </w:rPr>
              <w:t>Baseline tốt</w:t>
            </w:r>
          </w:p>
        </w:tc>
      </w:tr>
      <w:tr>
        <w:trPr>
          <w:cantSplit w:val="true"/>
        </w:trPr>
        <w:tc>
          <w:tcPr>
            <w:tcW w:type="dxa" w:w="2551"/>
            <w:vAlign w:val="center"/>
            <w:tcMar>
              <w:top w:w="70" w:type="dxa"/>
              <w:start w:w="75" w:type="dxa"/>
              <w:bottom w:w="70" w:type="dxa"/>
              <w:end w:w="75" w:type="dxa"/>
            </w:tcMar>
          </w:tcPr>
          <w:p>
            <w:pPr>
              <w:spacing w:after="0" w:line="240" w:lineRule="auto"/>
            </w:pPr>
            <w:r>
              <w:rPr>
                <w:rFonts w:ascii="Arial" w:hAnsi="Arial"/>
                <w:b w:val="0"/>
                <w:i w:val="0"/>
                <w:sz w:val="17"/>
              </w:rPr>
              <w:t>Region-specific heatwave season/regime</w:t>
            </w:r>
          </w:p>
        </w:tc>
        <w:tc>
          <w:tcPr>
            <w:tcW w:type="dxa" w:w="2721"/>
            <w:vAlign w:val="center"/>
            <w:tcMar>
              <w:top w:w="70" w:type="dxa"/>
              <w:start w:w="75" w:type="dxa"/>
              <w:bottom w:w="70" w:type="dxa"/>
              <w:end w:w="75" w:type="dxa"/>
            </w:tcMar>
          </w:tcPr>
          <w:p>
            <w:pPr>
              <w:spacing w:after="0" w:line="240" w:lineRule="auto"/>
            </w:pPr>
            <w:r>
              <w:rPr>
                <w:rFonts w:ascii="Arial" w:hAnsi="Arial"/>
                <w:b w:val="0"/>
                <w:i w:val="0"/>
                <w:sz w:val="17"/>
              </w:rPr>
              <w:t>Bám sát climatology và physics; giảm class imbalance</w:t>
            </w:r>
          </w:p>
        </w:tc>
        <w:tc>
          <w:tcPr>
            <w:tcW w:type="dxa" w:w="2948"/>
            <w:vAlign w:val="center"/>
            <w:tcMar>
              <w:top w:w="70" w:type="dxa"/>
              <w:start w:w="75" w:type="dxa"/>
              <w:bottom w:w="70" w:type="dxa"/>
              <w:end w:w="75" w:type="dxa"/>
            </w:tcMar>
          </w:tcPr>
          <w:p>
            <w:pPr>
              <w:spacing w:after="0" w:line="240" w:lineRule="auto"/>
            </w:pPr>
            <w:r>
              <w:rPr>
                <w:rFonts w:ascii="Arial" w:hAnsi="Arial"/>
                <w:b w:val="0"/>
                <w:i w:val="0"/>
                <w:sz w:val="17"/>
              </w:rPr>
              <w:t>Cần định nghĩa khách quan và đủ samples</w:t>
            </w:r>
          </w:p>
        </w:tc>
        <w:tc>
          <w:tcPr>
            <w:tcW w:type="dxa" w:w="1871"/>
            <w:vAlign w:val="center"/>
            <w:tcMar>
              <w:top w:w="70" w:type="dxa"/>
              <w:start w:w="75" w:type="dxa"/>
              <w:bottom w:w="70" w:type="dxa"/>
              <w:end w:w="75" w:type="dxa"/>
            </w:tcMar>
          </w:tcPr>
          <w:p>
            <w:pPr>
              <w:spacing w:after="0" w:line="240" w:lineRule="auto"/>
            </w:pPr>
            <w:r>
              <w:rPr>
                <w:rFonts w:ascii="Arial" w:hAnsi="Arial"/>
                <w:b w:val="0"/>
                <w:i w:val="0"/>
                <w:sz w:val="17"/>
              </w:rPr>
              <w:t>Khuyến nghị khi đã có climatology ổn định</w:t>
            </w:r>
          </w:p>
        </w:tc>
      </w:tr>
      <w:tr>
        <w:trPr>
          <w:cantSplit w:val="true"/>
        </w:trPr>
        <w:tc>
          <w:tcPr>
            <w:tcW w:type="dxa" w:w="2551"/>
            <w:vAlign w:val="center"/>
            <w:tcMar>
              <w:top w:w="70" w:type="dxa"/>
              <w:start w:w="75" w:type="dxa"/>
              <w:bottom w:w="70" w:type="dxa"/>
              <w:end w:w="75" w:type="dxa"/>
            </w:tcMar>
          </w:tcPr>
          <w:p>
            <w:pPr>
              <w:spacing w:after="0" w:line="240" w:lineRule="auto"/>
            </w:pPr>
            <w:r>
              <w:rPr>
                <w:rFonts w:ascii="Arial" w:hAnsi="Arial"/>
                <w:b w:val="0"/>
                <w:i w:val="0"/>
                <w:sz w:val="17"/>
              </w:rPr>
              <w:t>Shared model + season embedding/head</w:t>
            </w:r>
          </w:p>
        </w:tc>
        <w:tc>
          <w:tcPr>
            <w:tcW w:type="dxa" w:w="2721"/>
            <w:vAlign w:val="center"/>
            <w:tcMar>
              <w:top w:w="70" w:type="dxa"/>
              <w:start w:w="75" w:type="dxa"/>
              <w:bottom w:w="70" w:type="dxa"/>
              <w:end w:w="75" w:type="dxa"/>
            </w:tcMar>
          </w:tcPr>
          <w:p>
            <w:pPr>
              <w:spacing w:after="0" w:line="240" w:lineRule="auto"/>
            </w:pPr>
            <w:r>
              <w:rPr>
                <w:rFonts w:ascii="Arial" w:hAnsi="Arial"/>
                <w:b w:val="0"/>
                <w:i w:val="0"/>
                <w:sz w:val="17"/>
              </w:rPr>
              <w:t>Giữ shared knowledge nhưng cho seasonal adaptation</w:t>
            </w:r>
          </w:p>
        </w:tc>
        <w:tc>
          <w:tcPr>
            <w:tcW w:type="dxa" w:w="2948"/>
            <w:vAlign w:val="center"/>
            <w:tcMar>
              <w:top w:w="70" w:type="dxa"/>
              <w:start w:w="75" w:type="dxa"/>
              <w:bottom w:w="70" w:type="dxa"/>
              <w:end w:w="75" w:type="dxa"/>
            </w:tcMar>
          </w:tcPr>
          <w:p>
            <w:pPr>
              <w:spacing w:after="0" w:line="240" w:lineRule="auto"/>
            </w:pPr>
            <w:r>
              <w:rPr>
                <w:rFonts w:ascii="Arial" w:hAnsi="Arial"/>
                <w:b w:val="0"/>
                <w:i w:val="0"/>
                <w:sz w:val="17"/>
              </w:rPr>
              <w:t>Complex hơn</w:t>
            </w:r>
          </w:p>
        </w:tc>
        <w:tc>
          <w:tcPr>
            <w:tcW w:type="dxa" w:w="1871"/>
            <w:vAlign w:val="center"/>
            <w:tcMar>
              <w:top w:w="70" w:type="dxa"/>
              <w:start w:w="75" w:type="dxa"/>
              <w:bottom w:w="70" w:type="dxa"/>
              <w:end w:w="75" w:type="dxa"/>
            </w:tcMar>
          </w:tcPr>
          <w:p>
            <w:pPr>
              <w:spacing w:after="0" w:line="240" w:lineRule="auto"/>
            </w:pPr>
            <w:r>
              <w:rPr>
                <w:rFonts w:ascii="Arial" w:hAnsi="Arial"/>
                <w:b w:val="0"/>
                <w:i w:val="0"/>
                <w:sz w:val="17"/>
              </w:rPr>
              <w:t>Khuyến nghị cho DL/multi-task</w:t>
            </w:r>
          </w:p>
        </w:tc>
      </w:tr>
    </w:tbl>
    <w:p>
      <w:pPr>
        <w:spacing w:after="100"/>
        <w:jc w:val="center"/>
      </w:pPr>
      <w:r>
        <w:rPr>
          <w:rFonts w:ascii="Arial" w:hAnsi="Arial"/>
          <w:b w:val="0"/>
          <w:i/>
          <w:color w:val="505050"/>
          <w:sz w:val="18"/>
        </w:rPr>
        <w:t>Bảng 4. Các phương án xử lý seasonality.</w:t>
      </w:r>
    </w:p>
    <w:p>
      <w:pPr>
        <w:pStyle w:val="Heading2"/>
        <w:keepNext/>
        <w:spacing w:before="100" w:after="80"/>
      </w:pPr>
      <w:r>
        <w:rPr>
          <w:rFonts w:ascii="Arial" w:hAnsi="Arial"/>
          <w:b/>
          <w:i w:val="0"/>
          <w:color w:val="373737"/>
          <w:sz w:val="23"/>
        </w:rPr>
        <w:t>5.1. Cách đưa seasonality vào model</w:t>
      </w:r>
    </w:p>
    <w:p>
      <w:pPr>
        <w:pStyle w:val="ListBullet"/>
        <w:spacing w:after="40" w:line="252" w:lineRule="auto"/>
      </w:pPr>
      <w:r>
        <w:rPr>
          <w:rFonts w:ascii="Arial" w:hAnsi="Arial"/>
          <w:b w:val="0"/>
          <w:i w:val="0"/>
          <w:sz w:val="20"/>
        </w:rPr>
        <w:t>Dùng month-of-year dưới dạng cyclical encoding: sin(2πm/12), cos(2πm/12), hoặc season embedding trong neural network.</w:t>
      </w:r>
    </w:p>
    <w:p>
      <w:pPr>
        <w:pStyle w:val="ListBullet"/>
        <w:spacing w:after="40" w:line="252" w:lineRule="auto"/>
      </w:pPr>
      <w:r>
        <w:rPr>
          <w:rFonts w:ascii="Arial" w:hAnsi="Arial"/>
          <w:b w:val="0"/>
          <w:i w:val="0"/>
          <w:sz w:val="20"/>
        </w:rPr>
        <w:t>Dùng climatological percentile/threshold theo calendar day hoặc pentad, thay vì một ngưỡng tuyệt đối duy nhất nếu định nghĩa EHDE dựa trên anomaly/percentile.</w:t>
      </w:r>
    </w:p>
    <w:p>
      <w:pPr>
        <w:pStyle w:val="ListBullet"/>
        <w:spacing w:after="40" w:line="252" w:lineRule="auto"/>
      </w:pPr>
      <w:r>
        <w:rPr>
          <w:rFonts w:ascii="Arial" w:hAnsi="Arial"/>
          <w:b w:val="0"/>
          <w:i w:val="0"/>
          <w:sz w:val="20"/>
        </w:rPr>
        <w:t>Tạo region × season interaction features cho boosting models; với DL dùng region embedding + season embedding.</w:t>
      </w:r>
    </w:p>
    <w:p>
      <w:pPr>
        <w:pStyle w:val="ListBullet"/>
        <w:spacing w:after="40" w:line="252" w:lineRule="auto"/>
      </w:pPr>
      <w:r>
        <w:rPr>
          <w:rFonts w:ascii="Arial" w:hAnsi="Arial"/>
          <w:b w:val="0"/>
          <w:i w:val="0"/>
          <w:sz w:val="20"/>
        </w:rPr>
        <w:t>Nếu chia thành các heatwave regimes, nên xác định từ observed event climatology (frequency/intensity/onset/cessation) và physical drivers, không chỉ từ tháng lịch.</w:t>
      </w:r>
    </w:p>
    <w:p>
      <w:pPr>
        <w:pStyle w:val="ListBullet"/>
        <w:spacing w:after="40" w:line="252" w:lineRule="auto"/>
      </w:pPr>
      <w:r>
        <w:rPr>
          <w:rFonts w:ascii="Arial" w:hAnsi="Arial"/>
          <w:b w:val="0"/>
          <w:i w:val="0"/>
          <w:sz w:val="20"/>
        </w:rPr>
        <w:t>Season được mã hóa theo target week là chính; initialization month/date cũng có thể là predictor bổ sung.</w:t>
      </w:r>
    </w:p>
    <w:p>
      <w:pPr>
        <w:pStyle w:val="Heading1"/>
        <w:keepNext/>
        <w:spacing w:before="160" w:after="80"/>
      </w:pPr>
      <w:r>
        <w:rPr>
          <w:rFonts w:ascii="Arial" w:hAnsi="Arial"/>
          <w:b/>
          <w:i w:val="0"/>
          <w:color w:val="1F4E79"/>
          <w:sz w:val="28"/>
        </w:rPr>
        <w:t>6. Kiến trúc tổng thể đề xuất</w:t>
      </w:r>
    </w:p>
    <w:tbl>
      <w:tblPr>
        <w:tblStyle w:val="TableGrid"/>
        <w:tblW w:type="auto" w:w="0"/>
        <w:jc w:val="center"/>
        <w:tblLook w:firstColumn="1" w:firstRow="1" w:lastColumn="0" w:lastRow="0" w:noHBand="0" w:noVBand="1" w:val="04A0"/>
      </w:tblPr>
      <w:tblGrid>
        <w:gridCol w:w="3289"/>
        <w:gridCol w:w="3289"/>
        <w:gridCol w:w="3289"/>
      </w:tblGrid>
      <w:tr>
        <w:trPr>
          <w:cantSplit w:val="true"/>
          <w:tblHeader w:val="true"/>
        </w:trPr>
        <w:tc>
          <w:tcPr>
            <w:tcW w:type="dxa" w:w="567"/>
            <w:shd w:fill="FFFFFF"/>
            <w:vAlign w:val="center"/>
            <w:tcMar>
              <w:top w:w="70" w:type="dxa"/>
              <w:start w:w="75" w:type="dxa"/>
              <w:bottom w:w="70" w:type="dxa"/>
              <w:end w:w="75" w:type="dxa"/>
            </w:tcMar>
          </w:tcPr>
          <w:p>
            <w:pPr>
              <w:spacing w:after="0" w:line="240" w:lineRule="auto"/>
            </w:pPr>
            <w:r>
              <w:rPr>
                <w:rFonts w:ascii="Arial" w:hAnsi="Arial"/>
                <w:b/>
                <w:i w:val="0"/>
                <w:sz w:val="18"/>
              </w:rPr>
              <w:t>1</w:t>
            </w:r>
          </w:p>
        </w:tc>
        <w:tc>
          <w:tcPr>
            <w:tcW w:type="dxa" w:w="2835"/>
            <w:shd w:fill="FFFFFF"/>
            <w:vAlign w:val="center"/>
            <w:tcMar>
              <w:top w:w="70" w:type="dxa"/>
              <w:start w:w="75" w:type="dxa"/>
              <w:bottom w:w="70" w:type="dxa"/>
              <w:end w:w="75" w:type="dxa"/>
            </w:tcMar>
          </w:tcPr>
          <w:p>
            <w:pPr>
              <w:spacing w:after="0" w:line="240" w:lineRule="auto"/>
            </w:pPr>
            <w:r>
              <w:rPr>
                <w:rFonts w:ascii="Arial" w:hAnsi="Arial"/>
                <w:b/>
                <w:i w:val="0"/>
                <w:sz w:val="18"/>
              </w:rPr>
              <w:t>Dynamical inputs</w:t>
            </w:r>
          </w:p>
        </w:tc>
        <w:tc>
          <w:tcPr>
            <w:tcW w:type="dxa" w:w="6804"/>
            <w:shd w:fill="FFFFFF"/>
            <w:vAlign w:val="center"/>
            <w:tcMar>
              <w:top w:w="70" w:type="dxa"/>
              <w:start w:w="75" w:type="dxa"/>
              <w:bottom w:w="70" w:type="dxa"/>
              <w:end w:w="75" w:type="dxa"/>
            </w:tcMar>
          </w:tcPr>
          <w:p>
            <w:pPr>
              <w:spacing w:after="0" w:line="240" w:lineRule="auto"/>
            </w:pPr>
            <w:r>
              <w:rPr>
                <w:rFonts w:ascii="Arial" w:hAnsi="Arial"/>
                <w:b/>
                <w:i w:val="0"/>
                <w:sz w:val="18"/>
              </w:rPr>
              <w:t>ECMWF/CFSv2/RCM/other S2S; member mean/spread; 2-D/3-D fields</w:t>
            </w:r>
          </w:p>
        </w:tc>
      </w:tr>
      <w:tr>
        <w:trPr>
          <w:cantSplit w:val="true"/>
        </w:trPr>
        <w:tc>
          <w:tcPr>
            <w:tcW w:type="dxa" w:w="567"/>
            <w:vAlign w:val="center"/>
            <w:tcMar>
              <w:top w:w="70" w:type="dxa"/>
              <w:start w:w="75" w:type="dxa"/>
              <w:bottom w:w="70" w:type="dxa"/>
              <w:end w:w="75" w:type="dxa"/>
            </w:tcMar>
          </w:tcPr>
          <w:p>
            <w:pPr>
              <w:spacing w:after="0" w:line="240" w:lineRule="auto"/>
            </w:pPr>
            <w:r>
              <w:rPr>
                <w:rFonts w:ascii="Arial" w:hAnsi="Arial"/>
                <w:b w:val="0"/>
                <w:i w:val="0"/>
                <w:sz w:val="18"/>
              </w:rPr>
              <w:t>2</w:t>
            </w:r>
          </w:p>
        </w:tc>
        <w:tc>
          <w:tcPr>
            <w:tcW w:type="dxa" w:w="2835"/>
            <w:vAlign w:val="center"/>
            <w:tcMar>
              <w:top w:w="70" w:type="dxa"/>
              <w:start w:w="75" w:type="dxa"/>
              <w:bottom w:w="70" w:type="dxa"/>
              <w:end w:w="75" w:type="dxa"/>
            </w:tcMar>
          </w:tcPr>
          <w:p>
            <w:pPr>
              <w:spacing w:after="0" w:line="240" w:lineRule="auto"/>
            </w:pPr>
            <w:r>
              <w:rPr>
                <w:rFonts w:ascii="Arial" w:hAnsi="Arial"/>
                <w:b w:val="0"/>
                <w:i w:val="0"/>
                <w:sz w:val="18"/>
              </w:rPr>
              <w:t>Lead-aware predictor builder</w:t>
            </w:r>
          </w:p>
        </w:tc>
        <w:tc>
          <w:tcPr>
            <w:tcW w:type="dxa" w:w="6804"/>
            <w:vAlign w:val="center"/>
            <w:tcMar>
              <w:top w:w="70" w:type="dxa"/>
              <w:start w:w="75" w:type="dxa"/>
              <w:bottom w:w="70" w:type="dxa"/>
              <w:end w:w="75" w:type="dxa"/>
            </w:tcMar>
          </w:tcPr>
          <w:p>
            <w:pPr>
              <w:spacing w:after="0" w:line="240" w:lineRule="auto"/>
            </w:pPr>
            <w:r>
              <w:rPr>
                <w:rFonts w:ascii="Arial" w:hAnsi="Arial"/>
                <w:b w:val="0"/>
                <w:i w:val="0"/>
                <w:sz w:val="18"/>
              </w:rPr>
              <w:t>W1–W2 local/weather state → W3–W4 mixed → W5–W6 slow/large-scale/teleconnection</w:t>
            </w:r>
          </w:p>
        </w:tc>
      </w:tr>
      <w:tr>
        <w:trPr>
          <w:cantSplit w:val="true"/>
        </w:trPr>
        <w:tc>
          <w:tcPr>
            <w:tcW w:type="dxa" w:w="567"/>
            <w:shd w:fill="F5F8FA"/>
            <w:vAlign w:val="center"/>
            <w:tcMar>
              <w:top w:w="70" w:type="dxa"/>
              <w:start w:w="75" w:type="dxa"/>
              <w:bottom w:w="70" w:type="dxa"/>
              <w:end w:w="75" w:type="dxa"/>
            </w:tcMar>
          </w:tcPr>
          <w:p>
            <w:pPr>
              <w:spacing w:after="0" w:line="240" w:lineRule="auto"/>
            </w:pPr>
            <w:r>
              <w:rPr>
                <w:rFonts w:ascii="Arial" w:hAnsi="Arial"/>
                <w:b w:val="0"/>
                <w:i w:val="0"/>
                <w:sz w:val="18"/>
              </w:rPr>
              <w:t>3</w:t>
            </w:r>
          </w:p>
        </w:tc>
        <w:tc>
          <w:tcPr>
            <w:tcW w:type="dxa" w:w="2835"/>
            <w:shd w:fill="F5F8FA"/>
            <w:vAlign w:val="center"/>
            <w:tcMar>
              <w:top w:w="70" w:type="dxa"/>
              <w:start w:w="75" w:type="dxa"/>
              <w:bottom w:w="70" w:type="dxa"/>
              <w:end w:w="75" w:type="dxa"/>
            </w:tcMar>
          </w:tcPr>
          <w:p>
            <w:pPr>
              <w:spacing w:after="0" w:line="240" w:lineRule="auto"/>
            </w:pPr>
            <w:r>
              <w:rPr>
                <w:rFonts w:ascii="Arial" w:hAnsi="Arial"/>
                <w:b w:val="0"/>
                <w:i w:val="0"/>
                <w:sz w:val="18"/>
              </w:rPr>
              <w:t>AI model pool</w:t>
            </w:r>
          </w:p>
        </w:tc>
        <w:tc>
          <w:tcPr>
            <w:tcW w:type="dxa" w:w="6804"/>
            <w:shd w:fill="F5F8FA"/>
            <w:vAlign w:val="center"/>
            <w:tcMar>
              <w:top w:w="70" w:type="dxa"/>
              <w:start w:w="75" w:type="dxa"/>
              <w:bottom w:w="70" w:type="dxa"/>
              <w:end w:w="75" w:type="dxa"/>
            </w:tcMar>
          </w:tcPr>
          <w:p>
            <w:pPr>
              <w:spacing w:after="0" w:line="240" w:lineRule="auto"/>
            </w:pPr>
            <w:r>
              <w:rPr>
                <w:rFonts w:ascii="Arial" w:hAnsi="Arial"/>
                <w:b w:val="0"/>
                <w:i w:val="0"/>
                <w:sz w:val="18"/>
              </w:rPr>
              <w:t>Boosting + MLP + ResU-Net + Transformer + selected complementary members</w:t>
            </w:r>
          </w:p>
        </w:tc>
      </w:tr>
      <w:tr>
        <w:trPr>
          <w:cantSplit w:val="true"/>
        </w:trPr>
        <w:tc>
          <w:tcPr>
            <w:tcW w:type="dxa" w:w="567"/>
            <w:vAlign w:val="center"/>
            <w:tcMar>
              <w:top w:w="70" w:type="dxa"/>
              <w:start w:w="75" w:type="dxa"/>
              <w:bottom w:w="70" w:type="dxa"/>
              <w:end w:w="75" w:type="dxa"/>
            </w:tcMar>
          </w:tcPr>
          <w:p>
            <w:pPr>
              <w:spacing w:after="0" w:line="240" w:lineRule="auto"/>
            </w:pPr>
            <w:r>
              <w:rPr>
                <w:rFonts w:ascii="Arial" w:hAnsi="Arial"/>
                <w:b w:val="0"/>
                <w:i w:val="0"/>
                <w:sz w:val="18"/>
              </w:rPr>
              <w:t>4</w:t>
            </w:r>
          </w:p>
        </w:tc>
        <w:tc>
          <w:tcPr>
            <w:tcW w:type="dxa" w:w="2835"/>
            <w:vAlign w:val="center"/>
            <w:tcMar>
              <w:top w:w="70" w:type="dxa"/>
              <w:start w:w="75" w:type="dxa"/>
              <w:bottom w:w="70" w:type="dxa"/>
              <w:end w:w="75" w:type="dxa"/>
            </w:tcMar>
          </w:tcPr>
          <w:p>
            <w:pPr>
              <w:spacing w:after="0" w:line="240" w:lineRule="auto"/>
            </w:pPr>
            <w:r>
              <w:rPr>
                <w:rFonts w:ascii="Arial" w:hAnsi="Arial"/>
                <w:b w:val="0"/>
                <w:i w:val="0"/>
                <w:sz w:val="18"/>
              </w:rPr>
              <w:t>Region/season adaptation</w:t>
            </w:r>
          </w:p>
        </w:tc>
        <w:tc>
          <w:tcPr>
            <w:tcW w:type="dxa" w:w="6804"/>
            <w:vAlign w:val="center"/>
            <w:tcMar>
              <w:top w:w="70" w:type="dxa"/>
              <w:start w:w="75" w:type="dxa"/>
              <w:bottom w:w="70" w:type="dxa"/>
              <w:end w:w="75" w:type="dxa"/>
            </w:tcMar>
          </w:tcPr>
          <w:p>
            <w:pPr>
              <w:spacing w:after="0" w:line="240" w:lineRule="auto"/>
            </w:pPr>
            <w:r>
              <w:rPr>
                <w:rFonts w:ascii="Arial" w:hAnsi="Arial"/>
                <w:b w:val="0"/>
                <w:i w:val="0"/>
                <w:sz w:val="18"/>
              </w:rPr>
              <w:t>Region-aware + season-aware features/heads/calibration; only split models when justified</w:t>
            </w:r>
          </w:p>
        </w:tc>
      </w:tr>
      <w:tr>
        <w:trPr>
          <w:cantSplit w:val="true"/>
        </w:trPr>
        <w:tc>
          <w:tcPr>
            <w:tcW w:type="dxa" w:w="567"/>
            <w:shd w:fill="F5F8FA"/>
            <w:vAlign w:val="center"/>
            <w:tcMar>
              <w:top w:w="70" w:type="dxa"/>
              <w:start w:w="75" w:type="dxa"/>
              <w:bottom w:w="70" w:type="dxa"/>
              <w:end w:w="75" w:type="dxa"/>
            </w:tcMar>
          </w:tcPr>
          <w:p>
            <w:pPr>
              <w:spacing w:after="0" w:line="240" w:lineRule="auto"/>
            </w:pPr>
            <w:r>
              <w:rPr>
                <w:rFonts w:ascii="Arial" w:hAnsi="Arial"/>
                <w:b w:val="0"/>
                <w:i w:val="0"/>
                <w:sz w:val="18"/>
              </w:rPr>
              <w:t>5</w:t>
            </w:r>
          </w:p>
        </w:tc>
        <w:tc>
          <w:tcPr>
            <w:tcW w:type="dxa" w:w="2835"/>
            <w:shd w:fill="F5F8FA"/>
            <w:vAlign w:val="center"/>
            <w:tcMar>
              <w:top w:w="70" w:type="dxa"/>
              <w:start w:w="75" w:type="dxa"/>
              <w:bottom w:w="70" w:type="dxa"/>
              <w:end w:w="75" w:type="dxa"/>
            </w:tcMar>
          </w:tcPr>
          <w:p>
            <w:pPr>
              <w:spacing w:after="0" w:line="240" w:lineRule="auto"/>
            </w:pPr>
            <w:r>
              <w:rPr>
                <w:rFonts w:ascii="Arial" w:hAnsi="Arial"/>
                <w:b w:val="0"/>
                <w:i w:val="0"/>
                <w:sz w:val="18"/>
              </w:rPr>
              <w:t>Probabilistic output</w:t>
            </w:r>
          </w:p>
        </w:tc>
        <w:tc>
          <w:tcPr>
            <w:tcW w:type="dxa" w:w="6804"/>
            <w:shd w:fill="F5F8FA"/>
            <w:vAlign w:val="center"/>
            <w:tcMar>
              <w:top w:w="70" w:type="dxa"/>
              <w:start w:w="75" w:type="dxa"/>
              <w:bottom w:w="70" w:type="dxa"/>
              <w:end w:w="75" w:type="dxa"/>
            </w:tcMar>
          </w:tcPr>
          <w:p>
            <w:pPr>
              <w:spacing w:after="0" w:line="240" w:lineRule="auto"/>
            </w:pPr>
            <w:r>
              <w:rPr>
                <w:rFonts w:ascii="Arial" w:hAnsi="Arial"/>
                <w:b w:val="0"/>
                <w:i w:val="0"/>
                <w:sz w:val="18"/>
              </w:rPr>
              <w:t>Each member outputs P(EHDE) where possible; calibrate probability</w:t>
            </w:r>
          </w:p>
        </w:tc>
      </w:tr>
      <w:tr>
        <w:trPr>
          <w:cantSplit w:val="true"/>
        </w:trPr>
        <w:tc>
          <w:tcPr>
            <w:tcW w:type="dxa" w:w="567"/>
            <w:vAlign w:val="center"/>
            <w:tcMar>
              <w:top w:w="70" w:type="dxa"/>
              <w:start w:w="75" w:type="dxa"/>
              <w:bottom w:w="70" w:type="dxa"/>
              <w:end w:w="75" w:type="dxa"/>
            </w:tcMar>
          </w:tcPr>
          <w:p>
            <w:pPr>
              <w:spacing w:after="0" w:line="240" w:lineRule="auto"/>
            </w:pPr>
            <w:r>
              <w:rPr>
                <w:rFonts w:ascii="Arial" w:hAnsi="Arial"/>
                <w:b w:val="0"/>
                <w:i w:val="0"/>
                <w:sz w:val="18"/>
              </w:rPr>
              <w:t>6</w:t>
            </w:r>
          </w:p>
        </w:tc>
        <w:tc>
          <w:tcPr>
            <w:tcW w:type="dxa" w:w="2835"/>
            <w:vAlign w:val="center"/>
            <w:tcMar>
              <w:top w:w="70" w:type="dxa"/>
              <w:start w:w="75" w:type="dxa"/>
              <w:bottom w:w="70" w:type="dxa"/>
              <w:end w:w="75" w:type="dxa"/>
            </w:tcMar>
          </w:tcPr>
          <w:p>
            <w:pPr>
              <w:spacing w:after="0" w:line="240" w:lineRule="auto"/>
            </w:pPr>
            <w:r>
              <w:rPr>
                <w:rFonts w:ascii="Arial" w:hAnsi="Arial"/>
                <w:b w:val="0"/>
                <w:i w:val="0"/>
                <w:sz w:val="18"/>
              </w:rPr>
              <w:t>Lead-dependent stack</w:t>
            </w:r>
          </w:p>
        </w:tc>
        <w:tc>
          <w:tcPr>
            <w:tcW w:type="dxa" w:w="6804"/>
            <w:vAlign w:val="center"/>
            <w:tcMar>
              <w:top w:w="70" w:type="dxa"/>
              <w:start w:w="75" w:type="dxa"/>
              <w:bottom w:w="70" w:type="dxa"/>
              <w:end w:w="75" w:type="dxa"/>
            </w:tcMar>
          </w:tcPr>
          <w:p>
            <w:pPr>
              <w:spacing w:after="0" w:line="240" w:lineRule="auto"/>
            </w:pPr>
            <w:r>
              <w:rPr>
                <w:rFonts w:ascii="Arial" w:hAnsi="Arial"/>
                <w:b w:val="0"/>
                <w:i w:val="0"/>
                <w:sz w:val="18"/>
              </w:rPr>
              <w:t>Select diverse members by Wk; stacking/blending weights learned only from CV</w:t>
            </w:r>
          </w:p>
        </w:tc>
      </w:tr>
      <w:tr>
        <w:trPr>
          <w:cantSplit w:val="true"/>
        </w:trPr>
        <w:tc>
          <w:tcPr>
            <w:tcW w:type="dxa" w:w="567"/>
            <w:shd w:fill="F5F8FA"/>
            <w:vAlign w:val="center"/>
            <w:tcMar>
              <w:top w:w="70" w:type="dxa"/>
              <w:start w:w="75" w:type="dxa"/>
              <w:bottom w:w="70" w:type="dxa"/>
              <w:end w:w="75" w:type="dxa"/>
            </w:tcMar>
          </w:tcPr>
          <w:p>
            <w:pPr>
              <w:spacing w:after="0" w:line="240" w:lineRule="auto"/>
            </w:pPr>
            <w:r>
              <w:rPr>
                <w:rFonts w:ascii="Arial" w:hAnsi="Arial"/>
                <w:b w:val="0"/>
                <w:i w:val="0"/>
                <w:sz w:val="18"/>
              </w:rPr>
              <w:t>7</w:t>
            </w:r>
          </w:p>
        </w:tc>
        <w:tc>
          <w:tcPr>
            <w:tcW w:type="dxa" w:w="2835"/>
            <w:shd w:fill="F5F8FA"/>
            <w:vAlign w:val="center"/>
            <w:tcMar>
              <w:top w:w="70" w:type="dxa"/>
              <w:start w:w="75" w:type="dxa"/>
              <w:bottom w:w="70" w:type="dxa"/>
              <w:end w:w="75" w:type="dxa"/>
            </w:tcMar>
          </w:tcPr>
          <w:p>
            <w:pPr>
              <w:spacing w:after="0" w:line="240" w:lineRule="auto"/>
            </w:pPr>
            <w:r>
              <w:rPr>
                <w:rFonts w:ascii="Arial" w:hAnsi="Arial"/>
                <w:b w:val="0"/>
                <w:i w:val="0"/>
                <w:sz w:val="18"/>
              </w:rPr>
              <w:t>Operational decision</w:t>
            </w:r>
          </w:p>
        </w:tc>
        <w:tc>
          <w:tcPr>
            <w:tcW w:type="dxa" w:w="6804"/>
            <w:shd w:fill="F5F8FA"/>
            <w:vAlign w:val="center"/>
            <w:tcMar>
              <w:top w:w="70" w:type="dxa"/>
              <w:start w:w="75" w:type="dxa"/>
              <w:bottom w:w="70" w:type="dxa"/>
              <w:end w:w="75" w:type="dxa"/>
            </w:tcMar>
          </w:tcPr>
          <w:p>
            <w:pPr>
              <w:spacing w:after="0" w:line="240" w:lineRule="auto"/>
            </w:pPr>
            <w:r>
              <w:rPr>
                <w:rFonts w:ascii="Arial" w:hAnsi="Arial"/>
                <w:b w:val="0"/>
                <w:i w:val="0"/>
                <w:sz w:val="18"/>
              </w:rPr>
              <w:t>Gridpoint EHDE via P0; regional event via Mj/Nj ≥ P_thres; provide probability + categorical warning</w:t>
            </w:r>
          </w:p>
        </w:tc>
      </w:tr>
    </w:tbl>
    <w:p>
      <w:pPr>
        <w:spacing w:after="100"/>
        <w:jc w:val="center"/>
      </w:pPr>
      <w:r>
        <w:rPr>
          <w:rFonts w:ascii="Arial" w:hAnsi="Arial"/>
          <w:b w:val="0"/>
          <w:i/>
          <w:color w:val="505050"/>
          <w:sz w:val="18"/>
        </w:rPr>
        <w:t>Hình khái niệm 1. Pipeline hybrid dynamical–AI đề xuất.</w:t>
      </w:r>
    </w:p>
    <w:p>
      <w:pPr>
        <w:pStyle w:val="Heading1"/>
        <w:keepNext/>
        <w:spacing w:before="160" w:after="80"/>
      </w:pPr>
      <w:r>
        <w:rPr>
          <w:rFonts w:ascii="Arial" w:hAnsi="Arial"/>
          <w:b/>
          <w:i w:val="0"/>
          <w:color w:val="1F4E79"/>
          <w:sz w:val="28"/>
        </w:rPr>
        <w:t>7. Xác suất sự kiện và stacking</w:t>
      </w:r>
    </w:p>
    <w:p>
      <w:pPr>
        <w:spacing w:after="80" w:line="259" w:lineRule="auto"/>
      </w:pPr>
      <w:r>
        <w:rPr>
          <w:rFonts w:ascii="Arial" w:hAnsi="Arial"/>
          <w:b w:val="0"/>
          <w:i w:val="0"/>
          <w:sz w:val="21"/>
        </w:rPr>
        <w:t>Nên giữ xác suất là sản phẩm trung tâm. Với ensemble AI members, baseline đơn giản có thể là P(yEHDE)=m/n, trong đó n là số members và m là số members dự báo yEHDE. Sau đó so sánh baseline này với probability stacking hoặc calibrated probabilities từ từng model.</w:t>
      </w:r>
    </w:p>
    <w:p>
      <w:pPr>
        <w:spacing w:after="80" w:line="259" w:lineRule="auto"/>
      </w:pPr>
      <w:r>
        <w:rPr>
          <w:rFonts w:ascii="Arial" w:hAnsi="Arial"/>
          <w:b w:val="0"/>
          <w:i w:val="0"/>
          <w:sz w:val="21"/>
        </w:rPr>
        <w:t>Deterministic gridpoint event: EHDE=1 nếu P(yEHDE)&gt;P0. Regional event cho Rj tại Wk: P[yEHDE(Rj,Wk)]=Mj/Nj, với Nj là số gridpoints của vùng và Mj là số gridpoints có yEHDE=1. Dự báo regional EHDE nếu tỷ lệ này ≥ P_thres.</w:t>
      </w:r>
    </w:p>
    <w:p>
      <w:pPr>
        <w:spacing w:after="80" w:line="259" w:lineRule="auto"/>
      </w:pPr>
      <w:r>
        <w:rPr>
          <w:rFonts w:ascii="Arial" w:hAnsi="Arial"/>
          <w:b w:val="0"/>
          <w:i w:val="0"/>
          <w:sz w:val="21"/>
        </w:rPr>
        <w:t>P0 và P_thres không nên chọn theo test period. Chúng phải được tối ưu trong training/validation, lý tưởng bằng nested hoặc blocked/rolling cross-validation, và có thể phụ thuộc lead × region nếu sample cho phép.</w:t>
      </w:r>
    </w:p>
    <w:p>
      <w:pPr>
        <w:pStyle w:val="Heading1"/>
        <w:keepNext/>
        <w:spacing w:before="160" w:after="80"/>
      </w:pPr>
      <w:r>
        <w:rPr>
          <w:rFonts w:ascii="Arial" w:hAnsi="Arial"/>
          <w:b/>
          <w:i w:val="0"/>
          <w:color w:val="1F4E79"/>
          <w:sz w:val="28"/>
        </w:rPr>
        <w:t>8. Verification và tiêu chí chọn member</w:t>
      </w:r>
    </w:p>
    <w:p>
      <w:pPr>
        <w:pStyle w:val="ListBullet"/>
        <w:spacing w:after="40" w:line="252" w:lineRule="auto"/>
      </w:pPr>
      <w:r>
        <w:rPr>
          <w:rFonts w:ascii="Arial" w:hAnsi="Arial"/>
          <w:b w:val="0"/>
          <w:i w:val="0"/>
          <w:sz w:val="20"/>
        </w:rPr>
        <w:t>Event metrics: POD (ưu tiên cao với warning), POFD, FAR, CSI, SEDI/EDI; báo cáo riêng theo W1–W6 và R1–R7.</w:t>
      </w:r>
    </w:p>
    <w:p>
      <w:pPr>
        <w:pStyle w:val="ListBullet"/>
        <w:spacing w:after="40" w:line="252" w:lineRule="auto"/>
      </w:pPr>
      <w:r>
        <w:rPr>
          <w:rFonts w:ascii="Arial" w:hAnsi="Arial"/>
          <w:b w:val="0"/>
          <w:i w:val="0"/>
          <w:sz w:val="20"/>
        </w:rPr>
        <w:t>Probability metrics: Brier Score/BSS, ROC-AUC, reliability diagram, sharpness; với rare event nên xem thêm PR-AUC.</w:t>
      </w:r>
    </w:p>
    <w:p>
      <w:pPr>
        <w:pStyle w:val="ListBullet"/>
        <w:spacing w:after="40" w:line="252" w:lineRule="auto"/>
      </w:pPr>
      <w:r>
        <w:rPr>
          <w:rFonts w:ascii="Arial" w:hAnsi="Arial"/>
          <w:b w:val="0"/>
          <w:i w:val="0"/>
          <w:sz w:val="20"/>
        </w:rPr>
        <w:t>Không chọn member chỉ vì POD cao: phải kiểm soát FAR/POFD và reliability. Có thể dùng multi-objective selection hoặc constraint-based selection.</w:t>
      </w:r>
    </w:p>
    <w:p>
      <w:pPr>
        <w:pStyle w:val="ListBullet"/>
        <w:spacing w:after="40" w:line="252" w:lineRule="auto"/>
      </w:pPr>
      <w:r>
        <w:rPr>
          <w:rFonts w:ascii="Arial" w:hAnsi="Arial"/>
          <w:b w:val="0"/>
          <w:i w:val="0"/>
          <w:sz w:val="20"/>
        </w:rPr>
        <w:t>Contribution vào stack: leave-one-member-out/ablation, permutation of member predictions, stacking weights và error-correlation matrix.</w:t>
      </w:r>
    </w:p>
    <w:p>
      <w:pPr>
        <w:pStyle w:val="ListBullet"/>
        <w:spacing w:after="40" w:line="252" w:lineRule="auto"/>
      </w:pPr>
      <w:r>
        <w:rPr>
          <w:rFonts w:ascii="Arial" w:hAnsi="Arial"/>
          <w:b w:val="0"/>
          <w:i w:val="0"/>
          <w:sz w:val="20"/>
        </w:rPr>
        <w:t>Ưu tiên diversity của errors. Ba model hơi yếu nhưng lỗi bổ sung nhau có thể tạo stack tốt hơn ba boosting variants rất giống nhau.</w:t>
      </w:r>
    </w:p>
    <w:p>
      <w:pPr>
        <w:pStyle w:val="Heading1"/>
        <w:keepNext/>
        <w:spacing w:before="160" w:after="80"/>
      </w:pPr>
      <w:r>
        <w:rPr>
          <w:rFonts w:ascii="Arial" w:hAnsi="Arial"/>
          <w:b/>
          <w:i w:val="0"/>
          <w:color w:val="1F4E79"/>
          <w:sz w:val="28"/>
        </w:rPr>
        <w:t>9. Lộ trình thực hiện tôi đề xuất</w:t>
      </w:r>
    </w:p>
    <w:tbl>
      <w:tblPr>
        <w:tblStyle w:val="TableGrid"/>
        <w:tblW w:type="auto" w:w="0"/>
        <w:jc w:val="center"/>
        <w:tblLook w:firstColumn="1" w:firstRow="1" w:lastColumn="0" w:lastRow="0" w:noHBand="0" w:noVBand="1" w:val="04A0"/>
      </w:tblPr>
      <w:tblGrid>
        <w:gridCol w:w="3289"/>
        <w:gridCol w:w="3289"/>
        <w:gridCol w:w="3289"/>
      </w:tblGrid>
      <w:tr>
        <w:trPr>
          <w:cantSplit w:val="true"/>
          <w:tblHeader w:val="true"/>
        </w:trPr>
        <w:tc>
          <w:tcPr>
            <w:tcW w:type="dxa" w:w="1984"/>
            <w:vAlign w:val="center"/>
            <w:tcMar>
              <w:top w:w="70" w:type="dxa"/>
              <w:start w:w="75" w:type="dxa"/>
              <w:bottom w:w="70" w:type="dxa"/>
              <w:end w:w="75" w:type="dxa"/>
            </w:tcMar>
            <w:shd w:fill="D9EAF7"/>
          </w:tcPr>
          <w:p>
            <w:pPr>
              <w:spacing w:after="0" w:line="240" w:lineRule="auto"/>
            </w:pPr>
            <w:r>
              <w:rPr>
                <w:rFonts w:ascii="Arial" w:hAnsi="Arial"/>
                <w:b/>
                <w:i w:val="0"/>
                <w:sz w:val="17"/>
              </w:rPr>
              <w:t>Giai đoạn</w:t>
            </w:r>
          </w:p>
        </w:tc>
        <w:tc>
          <w:tcPr>
            <w:tcW w:type="dxa" w:w="4989"/>
            <w:vAlign w:val="center"/>
            <w:tcMar>
              <w:top w:w="70" w:type="dxa"/>
              <w:start w:w="75" w:type="dxa"/>
              <w:bottom w:w="70" w:type="dxa"/>
              <w:end w:w="75" w:type="dxa"/>
            </w:tcMar>
            <w:shd w:fill="D9EAF7"/>
          </w:tcPr>
          <w:p>
            <w:pPr>
              <w:spacing w:after="0" w:line="240" w:lineRule="auto"/>
            </w:pPr>
            <w:r>
              <w:rPr>
                <w:rFonts w:ascii="Arial" w:hAnsi="Arial"/>
                <w:b/>
                <w:i w:val="0"/>
                <w:sz w:val="17"/>
              </w:rPr>
              <w:t>Nội dung</w:t>
            </w:r>
          </w:p>
        </w:tc>
        <w:tc>
          <w:tcPr>
            <w:tcW w:type="dxa" w:w="4536"/>
            <w:vAlign w:val="center"/>
            <w:tcMar>
              <w:top w:w="70" w:type="dxa"/>
              <w:start w:w="75" w:type="dxa"/>
              <w:bottom w:w="70" w:type="dxa"/>
              <w:end w:w="75" w:type="dxa"/>
            </w:tcMar>
            <w:shd w:fill="D9EAF7"/>
          </w:tcPr>
          <w:p>
            <w:pPr>
              <w:spacing w:after="0" w:line="240" w:lineRule="auto"/>
            </w:pPr>
            <w:r>
              <w:rPr>
                <w:rFonts w:ascii="Arial" w:hAnsi="Arial"/>
                <w:b/>
                <w:i w:val="0"/>
                <w:sz w:val="17"/>
              </w:rPr>
              <w:t>Mục tiêu</w:t>
            </w:r>
          </w:p>
        </w:tc>
      </w:tr>
      <w:tr>
        <w:trPr>
          <w:cantSplit w:val="true"/>
        </w:trPr>
        <w:tc>
          <w:tcPr>
            <w:tcW w:type="dxa" w:w="1984"/>
            <w:vAlign w:val="center"/>
            <w:tcMar>
              <w:top w:w="70" w:type="dxa"/>
              <w:start w:w="75" w:type="dxa"/>
              <w:bottom w:w="70" w:type="dxa"/>
              <w:end w:w="75" w:type="dxa"/>
            </w:tcMar>
          </w:tcPr>
          <w:p>
            <w:pPr>
              <w:spacing w:after="0" w:line="240" w:lineRule="auto"/>
            </w:pPr>
            <w:r>
              <w:rPr>
                <w:rFonts w:ascii="Arial" w:hAnsi="Arial"/>
                <w:b w:val="0"/>
                <w:i w:val="0"/>
                <w:sz w:val="17"/>
              </w:rPr>
              <w:t>Phase 1 — Baseline</w:t>
            </w:r>
          </w:p>
        </w:tc>
        <w:tc>
          <w:tcPr>
            <w:tcW w:type="dxa" w:w="4989"/>
            <w:vAlign w:val="center"/>
            <w:tcMar>
              <w:top w:w="70" w:type="dxa"/>
              <w:start w:w="75" w:type="dxa"/>
              <w:bottom w:w="70" w:type="dxa"/>
              <w:end w:w="75" w:type="dxa"/>
            </w:tcMar>
          </w:tcPr>
          <w:p>
            <w:pPr>
              <w:spacing w:after="0" w:line="240" w:lineRule="auto"/>
            </w:pPr>
            <w:r>
              <w:rPr>
                <w:rFonts w:ascii="Arial" w:hAnsi="Arial"/>
                <w:b w:val="0"/>
                <w:i w:val="0"/>
                <w:sz w:val="17"/>
              </w:rPr>
              <w:t>W1–W6 × national; Ridge/Logistic, RF, XGBoost, CatBoost, MLP; lead-specific predictor sets</w:t>
            </w:r>
          </w:p>
        </w:tc>
        <w:tc>
          <w:tcPr>
            <w:tcW w:type="dxa" w:w="4536"/>
            <w:vAlign w:val="center"/>
            <w:tcMar>
              <w:top w:w="70" w:type="dxa"/>
              <w:start w:w="75" w:type="dxa"/>
              <w:bottom w:w="70" w:type="dxa"/>
              <w:end w:w="75" w:type="dxa"/>
            </w:tcMar>
          </w:tcPr>
          <w:p>
            <w:pPr>
              <w:spacing w:after="0" w:line="240" w:lineRule="auto"/>
            </w:pPr>
            <w:r>
              <w:rPr>
                <w:rFonts w:ascii="Arial" w:hAnsi="Arial"/>
                <w:b w:val="0"/>
                <w:i w:val="0"/>
                <w:sz w:val="17"/>
              </w:rPr>
              <w:t>Có baseline đáng tin, leakage-free; xác định predictor importance theo lead</w:t>
            </w:r>
          </w:p>
        </w:tc>
      </w:tr>
      <w:tr>
        <w:trPr>
          <w:cantSplit w:val="true"/>
        </w:trPr>
        <w:tc>
          <w:tcPr>
            <w:tcW w:type="dxa" w:w="1984"/>
            <w:vAlign w:val="center"/>
            <w:tcMar>
              <w:top w:w="70" w:type="dxa"/>
              <w:start w:w="75" w:type="dxa"/>
              <w:bottom w:w="70" w:type="dxa"/>
              <w:end w:w="75" w:type="dxa"/>
            </w:tcMar>
          </w:tcPr>
          <w:p>
            <w:pPr>
              <w:spacing w:after="0" w:line="240" w:lineRule="auto"/>
            </w:pPr>
            <w:r>
              <w:rPr>
                <w:rFonts w:ascii="Arial" w:hAnsi="Arial"/>
                <w:b w:val="0"/>
                <w:i w:val="0"/>
                <w:sz w:val="17"/>
              </w:rPr>
              <w:t>Phase 2 — Spatial DL</w:t>
            </w:r>
          </w:p>
        </w:tc>
        <w:tc>
          <w:tcPr>
            <w:tcW w:type="dxa" w:w="4989"/>
            <w:vAlign w:val="center"/>
            <w:tcMar>
              <w:top w:w="70" w:type="dxa"/>
              <w:start w:w="75" w:type="dxa"/>
              <w:bottom w:w="70" w:type="dxa"/>
              <w:end w:w="75" w:type="dxa"/>
            </w:tcMar>
          </w:tcPr>
          <w:p>
            <w:pPr>
              <w:spacing w:after="0" w:line="240" w:lineRule="auto"/>
            </w:pPr>
            <w:r>
              <w:rPr>
                <w:rFonts w:ascii="Arial" w:hAnsi="Arial"/>
                <w:b w:val="0"/>
                <w:i w:val="0"/>
                <w:sz w:val="17"/>
              </w:rPr>
              <w:t>CNN/ResU-Net; large-scale input domains; probabilistic outputs</w:t>
            </w:r>
          </w:p>
        </w:tc>
        <w:tc>
          <w:tcPr>
            <w:tcW w:type="dxa" w:w="4536"/>
            <w:vAlign w:val="center"/>
            <w:tcMar>
              <w:top w:w="70" w:type="dxa"/>
              <w:start w:w="75" w:type="dxa"/>
              <w:bottom w:w="70" w:type="dxa"/>
              <w:end w:w="75" w:type="dxa"/>
            </w:tcMar>
          </w:tcPr>
          <w:p>
            <w:pPr>
              <w:spacing w:after="0" w:line="240" w:lineRule="auto"/>
            </w:pPr>
            <w:r>
              <w:rPr>
                <w:rFonts w:ascii="Arial" w:hAnsi="Arial"/>
                <w:b w:val="0"/>
                <w:i w:val="0"/>
                <w:sz w:val="17"/>
              </w:rPr>
              <w:t>Đánh giá lợi ích spatial patterns và teleconnections, đặc biệt W3–W6</w:t>
            </w:r>
          </w:p>
        </w:tc>
      </w:tr>
      <w:tr>
        <w:trPr>
          <w:cantSplit w:val="true"/>
        </w:trPr>
        <w:tc>
          <w:tcPr>
            <w:tcW w:type="dxa" w:w="1984"/>
            <w:vAlign w:val="center"/>
            <w:tcMar>
              <w:top w:w="70" w:type="dxa"/>
              <w:start w:w="75" w:type="dxa"/>
              <w:bottom w:w="70" w:type="dxa"/>
              <w:end w:w="75" w:type="dxa"/>
            </w:tcMar>
          </w:tcPr>
          <w:p>
            <w:pPr>
              <w:spacing w:after="0" w:line="240" w:lineRule="auto"/>
            </w:pPr>
            <w:r>
              <w:rPr>
                <w:rFonts w:ascii="Arial" w:hAnsi="Arial"/>
                <w:b w:val="0"/>
                <w:i w:val="0"/>
                <w:sz w:val="17"/>
              </w:rPr>
              <w:t>Phase 3 — Advanced DL</w:t>
            </w:r>
          </w:p>
        </w:tc>
        <w:tc>
          <w:tcPr>
            <w:tcW w:type="dxa" w:w="4989"/>
            <w:vAlign w:val="center"/>
            <w:tcMar>
              <w:top w:w="70" w:type="dxa"/>
              <w:start w:w="75" w:type="dxa"/>
              <w:bottom w:w="70" w:type="dxa"/>
              <w:end w:w="75" w:type="dxa"/>
            </w:tcMar>
          </w:tcPr>
          <w:p>
            <w:pPr>
              <w:spacing w:after="0" w:line="240" w:lineRule="auto"/>
            </w:pPr>
            <w:r>
              <w:rPr>
                <w:rFonts w:ascii="Arial" w:hAnsi="Arial"/>
                <w:b w:val="0"/>
                <w:i w:val="0"/>
                <w:sz w:val="17"/>
              </w:rPr>
              <w:t>Transformer và U-Net+Transformer; shared backbone + lead/region/season embeddings</w:t>
            </w:r>
          </w:p>
        </w:tc>
        <w:tc>
          <w:tcPr>
            <w:tcW w:type="dxa" w:w="4536"/>
            <w:vAlign w:val="center"/>
            <w:tcMar>
              <w:top w:w="70" w:type="dxa"/>
              <w:start w:w="75" w:type="dxa"/>
              <w:bottom w:w="70" w:type="dxa"/>
              <w:end w:w="75" w:type="dxa"/>
            </w:tcMar>
          </w:tcPr>
          <w:p>
            <w:pPr>
              <w:spacing w:after="0" w:line="240" w:lineRule="auto"/>
            </w:pPr>
            <w:r>
              <w:rPr>
                <w:rFonts w:ascii="Arial" w:hAnsi="Arial"/>
                <w:b w:val="0"/>
                <w:i w:val="0"/>
                <w:sz w:val="17"/>
              </w:rPr>
              <w:t>Kiểm tra long-range dependence mà không làm vỡ sample size</w:t>
            </w:r>
          </w:p>
        </w:tc>
      </w:tr>
      <w:tr>
        <w:trPr>
          <w:cantSplit w:val="true"/>
        </w:trPr>
        <w:tc>
          <w:tcPr>
            <w:tcW w:type="dxa" w:w="1984"/>
            <w:vAlign w:val="center"/>
            <w:tcMar>
              <w:top w:w="70" w:type="dxa"/>
              <w:start w:w="75" w:type="dxa"/>
              <w:bottom w:w="70" w:type="dxa"/>
              <w:end w:w="75" w:type="dxa"/>
            </w:tcMar>
          </w:tcPr>
          <w:p>
            <w:pPr>
              <w:spacing w:after="0" w:line="240" w:lineRule="auto"/>
            </w:pPr>
            <w:r>
              <w:rPr>
                <w:rFonts w:ascii="Arial" w:hAnsi="Arial"/>
                <w:b w:val="0"/>
                <w:i w:val="0"/>
                <w:sz w:val="17"/>
              </w:rPr>
              <w:t>Phase 4 — Adaptive ensemble</w:t>
            </w:r>
          </w:p>
        </w:tc>
        <w:tc>
          <w:tcPr>
            <w:tcW w:type="dxa" w:w="4989"/>
            <w:vAlign w:val="center"/>
            <w:tcMar>
              <w:top w:w="70" w:type="dxa"/>
              <w:start w:w="75" w:type="dxa"/>
              <w:bottom w:w="70" w:type="dxa"/>
              <w:end w:w="75" w:type="dxa"/>
            </w:tcMar>
          </w:tcPr>
          <w:p>
            <w:pPr>
              <w:spacing w:after="0" w:line="240" w:lineRule="auto"/>
            </w:pPr>
            <w:r>
              <w:rPr>
                <w:rFonts w:ascii="Arial" w:hAnsi="Arial"/>
                <w:b w:val="0"/>
                <w:i w:val="0"/>
                <w:sz w:val="17"/>
              </w:rPr>
              <w:t>Lead-dependent member selection + stacking + calibration</w:t>
            </w:r>
          </w:p>
        </w:tc>
        <w:tc>
          <w:tcPr>
            <w:tcW w:type="dxa" w:w="4536"/>
            <w:vAlign w:val="center"/>
            <w:tcMar>
              <w:top w:w="70" w:type="dxa"/>
              <w:start w:w="75" w:type="dxa"/>
              <w:bottom w:w="70" w:type="dxa"/>
              <w:end w:w="75" w:type="dxa"/>
            </w:tcMar>
          </w:tcPr>
          <w:p>
            <w:pPr>
              <w:spacing w:after="0" w:line="240" w:lineRule="auto"/>
            </w:pPr>
            <w:r>
              <w:rPr>
                <w:rFonts w:ascii="Arial" w:hAnsi="Arial"/>
                <w:b w:val="0"/>
                <w:i w:val="0"/>
                <w:sz w:val="17"/>
              </w:rPr>
              <w:t>Final P(EHDE) và regional event products</w:t>
            </w:r>
          </w:p>
        </w:tc>
      </w:tr>
      <w:tr>
        <w:trPr>
          <w:cantSplit w:val="true"/>
        </w:trPr>
        <w:tc>
          <w:tcPr>
            <w:tcW w:type="dxa" w:w="1984"/>
            <w:vAlign w:val="center"/>
            <w:tcMar>
              <w:top w:w="70" w:type="dxa"/>
              <w:start w:w="75" w:type="dxa"/>
              <w:bottom w:w="70" w:type="dxa"/>
              <w:end w:w="75" w:type="dxa"/>
            </w:tcMar>
          </w:tcPr>
          <w:p>
            <w:pPr>
              <w:spacing w:after="0" w:line="240" w:lineRule="auto"/>
            </w:pPr>
            <w:r>
              <w:rPr>
                <w:rFonts w:ascii="Arial" w:hAnsi="Arial"/>
                <w:b w:val="0"/>
                <w:i w:val="0"/>
                <w:sz w:val="17"/>
              </w:rPr>
              <w:t>Phase 5 — Regional/season refinement</w:t>
            </w:r>
          </w:p>
        </w:tc>
        <w:tc>
          <w:tcPr>
            <w:tcW w:type="dxa" w:w="4989"/>
            <w:vAlign w:val="center"/>
            <w:tcMar>
              <w:top w:w="70" w:type="dxa"/>
              <w:start w:w="75" w:type="dxa"/>
              <w:bottom w:w="70" w:type="dxa"/>
              <w:end w:w="75" w:type="dxa"/>
            </w:tcMar>
          </w:tcPr>
          <w:p>
            <w:pPr>
              <w:spacing w:after="0" w:line="240" w:lineRule="auto"/>
            </w:pPr>
            <w:r>
              <w:rPr>
                <w:rFonts w:ascii="Arial" w:hAnsi="Arial"/>
                <w:b w:val="0"/>
                <w:i w:val="0"/>
                <w:sz w:val="17"/>
              </w:rPr>
              <w:t>Chỉ tách model vùng/mùa ở nơi CV cho thấy gain ổn định</w:t>
            </w:r>
          </w:p>
        </w:tc>
        <w:tc>
          <w:tcPr>
            <w:tcW w:type="dxa" w:w="4536"/>
            <w:vAlign w:val="center"/>
            <w:tcMar>
              <w:top w:w="70" w:type="dxa"/>
              <w:start w:w="75" w:type="dxa"/>
              <w:bottom w:w="70" w:type="dxa"/>
              <w:end w:w="75" w:type="dxa"/>
            </w:tcMar>
          </w:tcPr>
          <w:p>
            <w:pPr>
              <w:spacing w:after="0" w:line="240" w:lineRule="auto"/>
            </w:pPr>
            <w:r>
              <w:rPr>
                <w:rFonts w:ascii="Arial" w:hAnsi="Arial"/>
                <w:b w:val="0"/>
                <w:i w:val="0"/>
                <w:sz w:val="17"/>
              </w:rPr>
              <w:t>Tránh tạo hàng trăm model không cần thiết</w:t>
            </w:r>
          </w:p>
        </w:tc>
      </w:tr>
    </w:tbl>
    <w:p>
      <w:pPr>
        <w:spacing w:after="100"/>
        <w:jc w:val="center"/>
      </w:pPr>
      <w:r>
        <w:rPr>
          <w:rFonts w:ascii="Arial" w:hAnsi="Arial"/>
          <w:b w:val="0"/>
          <w:i/>
          <w:color w:val="505050"/>
          <w:sz w:val="18"/>
        </w:rPr>
        <w:t>Bảng 5. Lộ trình phát triển thực nghiệm.</w:t>
      </w:r>
    </w:p>
    <w:p>
      <w:pPr>
        <w:pStyle w:val="Heading1"/>
        <w:keepNext/>
        <w:spacing w:before="160" w:after="80"/>
      </w:pPr>
      <w:r>
        <w:rPr>
          <w:rFonts w:ascii="Arial" w:hAnsi="Arial"/>
          <w:b/>
          <w:i w:val="0"/>
          <w:color w:val="1F4E79"/>
          <w:sz w:val="28"/>
        </w:rPr>
        <w:t>10. Các quyết định quan trọng nhất cho S2S-HW Việt Nam</w:t>
      </w:r>
    </w:p>
    <w:p>
      <w:pPr>
        <w:pStyle w:val="ListNumber"/>
        <w:spacing w:after="40"/>
      </w:pPr>
      <w:r>
        <w:rPr>
          <w:rFonts w:ascii="Arial" w:hAnsi="Arial"/>
          <w:b w:val="0"/>
          <w:i w:val="0"/>
          <w:sz w:val="20"/>
        </w:rPr>
        <w:t>Dùng cùng một core model pool cho nghiên cứu so sánh, nhưng training/tuning và final stack phải lead-dependent.</w:t>
      </w:r>
    </w:p>
    <w:p>
      <w:pPr>
        <w:pStyle w:val="ListNumber"/>
        <w:spacing w:after="40"/>
      </w:pPr>
      <w:r>
        <w:rPr>
          <w:rFonts w:ascii="Arial" w:hAnsi="Arial"/>
          <w:b w:val="0"/>
          <w:i w:val="0"/>
          <w:sz w:val="20"/>
        </w:rPr>
        <w:t>Lead càng dài càng mở rộng predictor domain và chuyển trọng tâm sang SST, upper-level circulation, teleconnections và slowly varying land/ocean states.</w:t>
      </w:r>
    </w:p>
    <w:p>
      <w:pPr>
        <w:pStyle w:val="ListNumber"/>
        <w:spacing w:after="40"/>
      </w:pPr>
      <w:r>
        <w:rPr>
          <w:rFonts w:ascii="Arial" w:hAnsi="Arial"/>
          <w:b w:val="0"/>
          <w:i w:val="0"/>
          <w:sz w:val="20"/>
        </w:rPr>
        <w:t>Không cắt R1–R7 quá sớm. Trước hết dùng national/shared representation, sau đó regional calibration/heads; regional independent model chỉ là challenger.</w:t>
      </w:r>
    </w:p>
    <w:p>
      <w:pPr>
        <w:pStyle w:val="ListNumber"/>
        <w:spacing w:after="40"/>
      </w:pPr>
      <w:r>
        <w:rPr>
          <w:rFonts w:ascii="Arial" w:hAnsi="Arial"/>
          <w:b w:val="0"/>
          <w:i w:val="0"/>
          <w:sz w:val="20"/>
        </w:rPr>
        <w:t>Làm season-aware từ đầu, nhưng chỉ tách season-specific models nếu có đủ EHDE samples và skill gain ổn định qua years.</w:t>
      </w:r>
    </w:p>
    <w:p>
      <w:pPr>
        <w:pStyle w:val="ListNumber"/>
        <w:spacing w:after="40"/>
      </w:pPr>
      <w:r>
        <w:rPr>
          <w:rFonts w:ascii="Arial" w:hAnsi="Arial"/>
          <w:b w:val="0"/>
          <w:i w:val="0"/>
          <w:sz w:val="20"/>
        </w:rPr>
        <w:t>Probabilistic forecast phải là primary output; categorical forecast là sản phẩm dẫn xuất từ probability threshold.</w:t>
      </w:r>
    </w:p>
    <w:p>
      <w:pPr>
        <w:pStyle w:val="ListNumber"/>
        <w:spacing w:after="40"/>
      </w:pPr>
      <w:r>
        <w:rPr>
          <w:rFonts w:ascii="Arial" w:hAnsi="Arial"/>
          <w:b w:val="0"/>
          <w:i w:val="0"/>
          <w:sz w:val="20"/>
        </w:rPr>
        <w:t>Mọi feature engineering, threshold optimization, member selection và stacking weight estimation phải nằm hoàn toàn bên trong training/CV để tránh leakage.</w:t>
      </w:r>
    </w:p>
    <w:p>
      <w:pPr>
        <w:pStyle w:val="Heading1"/>
        <w:keepNext/>
        <w:spacing w:before="160" w:after="80"/>
      </w:pPr>
      <w:r>
        <w:rPr>
          <w:rFonts w:ascii="Arial" w:hAnsi="Arial"/>
          <w:b/>
          <w:i w:val="0"/>
          <w:color w:val="1F4E79"/>
          <w:sz w:val="28"/>
        </w:rPr>
        <w:t>11. Kết luận ngắn</w:t>
      </w:r>
    </w:p>
    <w:p>
      <w:pPr>
        <w:spacing w:after="80" w:line="259" w:lineRule="auto"/>
      </w:pPr>
      <w:r>
        <w:rPr>
          <w:rFonts w:ascii="Arial" w:hAnsi="Arial"/>
          <w:b w:val="0"/>
          <w:i w:val="0"/>
          <w:sz w:val="21"/>
        </w:rPr>
        <w:t>Đối với hybrid subseasonal heatwave forecasting, lợi ích lớn nhất ở W3–W6 có khả năng không đến từ việc đơn thuần tăng độ sâu của AI model, mà từ sự kết hợp của: (i) lead-specific predictor physics; (ii) spatial/teleconnection-aware architectures; (iii) regional/seasonal adaptation nhưng không phân mảnh data quá mức; và (iv) calibrated probabilistic ensemble. Một thiết kế “lead-dependent + region-aware + season-aware + probabilistic stacking” là hướng cân bằng nhất giữa skill, robustness, interpretability và khả năng vận hành.</w:t>
      </w:r>
    </w:p>
    <w:p>
      <w:pPr>
        <w:pStyle w:val="Heading1"/>
        <w:keepNext/>
        <w:spacing w:before="160" w:after="80"/>
      </w:pPr>
      <w:r>
        <w:rPr>
          <w:rFonts w:ascii="Arial" w:hAnsi="Arial"/>
          <w:b/>
          <w:i w:val="0"/>
          <w:color w:val="1F4E79"/>
          <w:sz w:val="28"/>
        </w:rPr>
        <w:t>Tài liệu tham khảo chọn lọc</w:t>
      </w:r>
    </w:p>
    <w:p>
      <w:pPr>
        <w:spacing w:after="60"/>
        <w:ind w:left="283" w:hanging="283"/>
      </w:pPr>
      <w:r>
        <w:rPr>
          <w:rFonts w:ascii="Arial" w:hAnsi="Arial"/>
          <w:b w:val="0"/>
          <w:i w:val="0"/>
          <w:sz w:val="17"/>
        </w:rPr>
        <w:t>[1] Mengist, C. K., &amp; Seo, K.-H. (2026). Improving Subseasonal to Seasonal Global 2-m Temperature and Precipitation Forecasts Using a Deep Learning–Based Postprocessing Approach. Monthly Weather Review, 154, 391–405. DOI: 10.1175/MWR-D-25-0179.1.</w:t>
      </w:r>
    </w:p>
    <w:p>
      <w:pPr>
        <w:spacing w:after="60"/>
        <w:ind w:left="283" w:hanging="283"/>
      </w:pPr>
      <w:r>
        <w:rPr>
          <w:rFonts w:ascii="Arial" w:hAnsi="Arial"/>
          <w:b w:val="0"/>
          <w:i w:val="0"/>
          <w:sz w:val="17"/>
        </w:rPr>
        <w:t>[2] Weirich-Benet, E., Pyrina, M., Jiménez-Esteve, B., Fraenkel, E., Cohen, J., &amp; Domeisen, D. I. V. (2023). Subseasonal Prediction of Central European Summer Heatwaves with Linear and Random Forest Machine Learning Models. Artificial Intelligence for the Earth Systems, 2. DOI: 10.1175/AIES-D-22-0038.1.</w:t>
      </w:r>
    </w:p>
    <w:p>
      <w:pPr>
        <w:spacing w:after="60"/>
        <w:ind w:left="283" w:hanging="283"/>
      </w:pPr>
      <w:r>
        <w:rPr>
          <w:rFonts w:ascii="Arial" w:hAnsi="Arial"/>
          <w:b w:val="0"/>
          <w:i w:val="0"/>
          <w:sz w:val="17"/>
        </w:rPr>
        <w:t>[3] Horat, N., &amp; Lerch, S. (2024). Deep Learning for Postprocessing Global Probabilistic Forecasts on Subseasonal Time Scales. Monthly Weather Review, 152, 667–687. DOI: 10.1175/MWR-D-23-0150.1.</w:t>
      </w:r>
    </w:p>
    <w:p>
      <w:pPr>
        <w:spacing w:after="60"/>
        <w:ind w:left="283" w:hanging="283"/>
      </w:pPr>
      <w:r>
        <w:rPr>
          <w:rFonts w:ascii="Arial" w:hAnsi="Arial"/>
          <w:b w:val="0"/>
          <w:i w:val="0"/>
          <w:sz w:val="17"/>
        </w:rPr>
        <w:t>[4] Guan, H. H., Mouatadid, S., Orenstein, P., et al. (2026). Enhancing AI and Dynamical Subseasonal Forecasts with Probabilistic Bias Correction. Microsoft Research / arXiv (April 2026).</w:t>
      </w:r>
    </w:p>
    <w:p>
      <w:pPr>
        <w:spacing w:after="60"/>
        <w:ind w:left="283" w:hanging="283"/>
      </w:pPr>
      <w:r>
        <w:rPr>
          <w:rFonts w:ascii="Arial" w:hAnsi="Arial"/>
          <w:b w:val="0"/>
          <w:i w:val="0"/>
          <w:sz w:val="17"/>
        </w:rPr>
        <w:t>[5] Guo, M., Xu, K., Zhang, L., &amp; Wang, W. (2026). Global Subseasonal-to-Seasonal Marine Heatwave Forecasts Boosted by Explainable Deep Learning. Journal of Geophysical Research: Machine Learning and Computation, 3(4), e2026JH001380. DOI: 10.1029/2026JH001380.</w:t>
      </w:r>
    </w:p>
    <w:p>
      <w:pPr>
        <w:spacing w:after="60"/>
        <w:ind w:left="283" w:hanging="283"/>
      </w:pPr>
      <w:r>
        <w:rPr>
          <w:rFonts w:ascii="Arial" w:hAnsi="Arial"/>
          <w:b w:val="0"/>
          <w:i w:val="0"/>
          <w:sz w:val="17"/>
        </w:rPr>
        <w:t>[6] ECMWF (2026). The AI Weather Quest: spotlighting the best of machine learning sub-seasonal prediction. ECMWF Science Blog.</w:t>
      </w:r>
    </w:p>
    <w:p>
      <w:pPr>
        <w:spacing w:after="60"/>
        <w:ind w:left="283" w:hanging="283"/>
      </w:pPr>
      <w:r>
        <w:rPr>
          <w:rFonts w:ascii="Arial" w:hAnsi="Arial"/>
          <w:b w:val="0"/>
          <w:i w:val="0"/>
          <w:sz w:val="17"/>
        </w:rPr>
        <w:t>[7] Chao, Q., Lin, C., Hu, Z., et al. (2024). A machine learning model that outperforms conventional global subseasonal forecast models. Nature Communications, 15, 6425.</w:t>
      </w:r>
    </w:p>
    <w:p>
      <w:pPr>
        <w:spacing w:before="160"/>
      </w:pPr>
      <w:r>
        <w:rPr>
          <w:rFonts w:ascii="Arial" w:hAnsi="Arial"/>
          <w:b w:val="0"/>
          <w:i/>
          <w:color w:val="5A5A5A"/>
          <w:sz w:val="17"/>
        </w:rPr>
        <w:t>Ghi chú: Đây là design recommendation cho nghiên cứu và phát triển hệ S2S-HW/EHDE, không phải một ranking tuyệt đối của các model. Final architecture cần được quyết định bằng blocked/rolling hindcast validation trên chính dữ liệu và định nghĩa EHDE của Việt Nam.</w:t>
      </w:r>
    </w:p>
    <w:sectPr w:rsidR="00FC693F" w:rsidRPr="0006063C" w:rsidSect="00034616">
      <w:headerReference w:type="default" r:id="rId9"/>
      <w:footerReference w:type="default" r:id="rId10"/>
      <w:pgSz w:w="11906" w:h="16838"/>
      <w:pgMar w:top="964"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6E6E6E"/>
        <w:sz w:val="16"/>
      </w:rPr>
      <w:t>Vietnam subseasonal heatwave forecasting | Technical design recommendations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val="0"/>
        <w:i w:val="0"/>
        <w:color w:val="646464"/>
        <w:sz w:val="17"/>
      </w:rPr>
      <w:t>S2S-HW Hybrid AI Design Note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rPr>
      <w:rFonts w:ascii="Arial" w:hAnsi="Arial"/>
      <w:sz w:val="21"/>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