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1"/>
      </w:pPr>
      <w:bookmarkStart w:id="21" w:name="calibrated-subseasonal-to-seasonal-probability-forecasts-of-extreme-heat-days-over-vietnam-from-a-single-member-reforecast"/>
      <w:bookmarkEnd w:id="21"/>
      <w:r>
        <w:t xml:space="preserve">Calibrated subseasonal-to-seasonal probability forecasts of extreme-heat days over Vietnam from a single-member reforecast</w:t>
      </w:r>
    </w:p>
    <w:p>
      <w:pPr>
        <w:pStyle w:val="FirstParagraph"/>
      </w:pPr>
      <w:r>
        <w:rPr>
          <w:i/>
        </w:rPr>
        <w:t xml:space="preserve">Draft manuscript prepared for</w:t>
      </w:r>
      <w:r>
        <w:t xml:space="preserve"> </w:t>
      </w:r>
      <w:r>
        <w:t xml:space="preserve">Monthly Weather Review</w:t>
      </w:r>
      <w:r>
        <w:rPr>
          <w:i/>
        </w:rPr>
        <w:t xml:space="preserve">. Revision generated 2026-09-29. Every</w:t>
      </w:r>
      <w:r>
        <w:rPr>
          <w:i/>
        </w:rPr>
        <w:t xml:space="preserve"> </w:t>
      </w:r>
      <w:r>
        <w:rPr>
          <w:i/>
        </w:rPr>
        <w:t xml:space="preserve">quantitative claim is traceable to a named file in the project Evidence pack</w:t>
      </w:r>
      <w:r>
        <w:rPr>
          <w:i/>
        </w:rPr>
        <w:t xml:space="preserve"> </w:t>
      </w:r>
      <w:r>
        <w:rPr>
          <w:i/>
        </w:rPr>
        <w:t xml:space="preserve">(</w:t>
      </w:r>
      <w:r>
        <w:rPr>
          <w:rStyle w:val="VerbatimChar"/>
          <w:i/>
        </w:rPr>
        <w:t xml:space="preserve">docs/RESULTS_REPORT.md</w:t>
      </w:r>
      <w:r>
        <w:rPr>
          <w:i/>
        </w:rPr>
        <w:t xml:space="preserve"> </w:t>
      </w:r>
      <w:r>
        <w:rPr>
          <w:i/>
        </w:rPr>
        <w:t xml:space="preserve">§13). Author list, affiliations, funding, and final reference details are</w:t>
      </w:r>
      <w:r>
        <w:rPr>
          <w:i/>
        </w:rPr>
        <w:t xml:space="preserve"> </w:t>
      </w:r>
      <w:r>
        <w:rPr>
          <w:i/>
        </w:rPr>
        <w:t xml:space="preserve">placeholders to be completed by the authors; the reference list (§References) contains real,</w:t>
      </w:r>
      <w:r>
        <w:rPr>
          <w:i/>
        </w:rPr>
        <w:t xml:space="preserve"> </w:t>
      </w:r>
      <w:r>
        <w:rPr>
          <w:i/>
        </w:rPr>
        <w:t xml:space="preserve">citable works chosen to be finalised by the authors against journal style.</w:t>
      </w:r>
    </w:p>
    <w:p>
      <w:pPr>
        <w:pStyle w:val="BodyText"/>
      </w:pPr>
      <w:r>
        <w:rPr>
          <w:b/>
        </w:rPr>
        <w:t xml:space="preserve">Authors:</w:t>
      </w:r>
      <w:r>
        <w:t xml:space="preserve"> </w:t>
      </w:r>
      <w:r>
        <w:t xml:space="preserve">[A. Author]¹, [B. Author]², … · ¹[Affiliation], ²[Affiliation]</w:t>
      </w:r>
      <w:r>
        <w:t xml:space="preserve"> </w:t>
      </w:r>
      <w:r>
        <w:rPr>
          <w:b/>
        </w:rPr>
        <w:t xml:space="preserve">Corresponding author:</w:t>
      </w:r>
      <w:r>
        <w:t xml:space="preserve"> </w:t>
      </w:r>
      <w:r>
        <w:t xml:space="preserve">[name, email]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abstract"/>
      <w:bookmarkEnd w:id="22"/>
      <w:r>
        <w:t xml:space="preserve">Abstract</w:t>
      </w:r>
    </w:p>
    <w:p>
      <w:pPr>
        <w:pStyle w:val="FirstParagraph"/>
      </w:pPr>
      <w:r>
        <w:t xml:space="preserve">Extreme heat is among the most consequential hazards in Vietnam, yet skilful operational guidance at</w:t>
      </w:r>
      <w:r>
        <w:t xml:space="preserve"> </w:t>
      </w:r>
      <w:r>
        <w:t xml:space="preserve">the subseasonal-to-seasonal (S2S) range—days to six weeks ahead—remains scarce, and the problem is</w:t>
      </w:r>
      <w:r>
        <w:t xml:space="preserve"> </w:t>
      </w:r>
      <w:r>
        <w:t xml:space="preserve">sharpened here by a reforecast archive that contains only a single deterministic (control) member.</w:t>
      </w:r>
      <w:r>
        <w:t xml:space="preserve"> </w:t>
      </w:r>
      <w:r>
        <w:t xml:space="preserve">We build, calibrate, and rigorously verify a probabilistic forecast of</w:t>
      </w:r>
      <w:r>
        <w:t xml:space="preserve"> </w:t>
      </w:r>
      <w:r>
        <w:rPr>
          <w:b/>
        </w:rPr>
        <w:t xml:space="preserve">extreme-heat days (EHDs)</w:t>
      </w:r>
      <w:r>
        <w:t xml:space="preserve"> </w:t>
      </w:r>
      <w:r>
        <w:t xml:space="preserve">over Vietnam to a lead of 45 days, using a 20-yr (2003–2022) ECMWF S2S control reforecast. An EHD is</w:t>
      </w:r>
      <w:r>
        <w:t xml:space="preserve"> </w:t>
      </w:r>
      <w:r>
        <w:t xml:space="preserve">defined per grid cell and calendar day as daily maximum temperature</w:t>
      </w:r>
      <w:r>
        <w:t xml:space="preserve"> </w:t>
      </w:r>
      <w:r>
        <w:rPr>
          <w:rStyle w:val="VerbatimChar"/>
        </w:rPr>
        <w:t xml:space="preserve">Tx ≥ min(Tx90p, 35 °C)</w:t>
      </w:r>
      <w:r>
        <w:t xml:space="preserve">, and the</w:t>
      </w:r>
      <w:r>
        <w:t xml:space="preserve"> </w:t>
      </w:r>
      <w:r>
        <w:t xml:space="preserve">forecast target—the</w:t>
      </w:r>
      <w:r>
        <w:t xml:space="preserve"> </w:t>
      </w:r>
      <w:r>
        <w:rPr>
          <w:b/>
        </w:rPr>
        <w:t xml:space="preserve">extreme-heat-day event (EHDE)</w:t>
      </w:r>
      <w:r>
        <w:t xml:space="preserve">,</w:t>
      </w:r>
      <w:r>
        <w:t xml:space="preserve"> </w:t>
      </w:r>
      <w:r>
        <w:rPr>
          <w:rStyle w:val="VerbatimChar"/>
        </w:rPr>
        <w:t xml:space="preserve">P(≥1 EHD in a block)</w:t>
      </w:r>
      <w:r>
        <w:t xml:space="preserve">—is issued for six fixed,</w:t>
      </w:r>
      <w:r>
        <w:t xml:space="preserve"> </w:t>
      </w:r>
      <w:r>
        <w:t xml:space="preserve">non-overlapping lead blocks (W1 0–10 d … W6 39–45 d). Because no ensemble exists, probabilities are</w:t>
      </w:r>
      <w:r>
        <w:t xml:space="preserve"> </w:t>
      </w:r>
      <w:r>
        <w:t xml:space="preserve">produced by</w:t>
      </w:r>
      <w:r>
        <w:t xml:space="preserve"> </w:t>
      </w:r>
      <w:r>
        <w:rPr>
          <w:b/>
        </w:rPr>
        <w:t xml:space="preserve">single-member model output statistics (MOS)</w:t>
      </w:r>
      <w:r>
        <w:t xml:space="preserve">: a family of statistical and</w:t>
      </w:r>
      <w:r>
        <w:t xml:space="preserve"> </w:t>
      </w:r>
      <w:r>
        <w:t xml:space="preserve">machine-learning models maps the deterministic forecast and physically motivated covariates to a</w:t>
      </w:r>
      <w:r>
        <w:t xml:space="preserve"> </w:t>
      </w:r>
      <w:r>
        <w:t xml:space="preserve">calibrated probability, rather than an ensemble exceedance fraction. We compare three predictand</w:t>
      </w:r>
      <w:r>
        <w:t xml:space="preserve"> </w:t>
      </w:r>
      <w:r>
        <w:t xml:space="preserve">formulations on a common footing—direct</w:t>
      </w:r>
      <w:r>
        <w:t xml:space="preserve"> </w:t>
      </w:r>
      <w:r>
        <w:rPr>
          <w:b/>
        </w:rPr>
        <w:t xml:space="preserve">event classification</w:t>
      </w:r>
      <w:r>
        <w:t xml:space="preserve"> </w:t>
      </w:r>
      <w:r>
        <w:t xml:space="preserve">of EHDE,</w:t>
      </w:r>
      <w:r>
        <w:t xml:space="preserve"> </w:t>
      </w:r>
      <w:r>
        <w:rPr>
          <w:b/>
        </w:rPr>
        <w:t xml:space="preserve">severity regression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Sev = Tx − threshold</w:t>
      </w:r>
      <w:r>
        <w:t xml:space="preserve"> </w:t>
      </w:r>
      <w:r>
        <w:t xml:space="preserve">mapped to probability by an isotonic link, and a</w:t>
      </w:r>
      <w:r>
        <w:t xml:space="preserve"> </w:t>
      </w:r>
      <w:r>
        <w:rPr>
          <w:b/>
        </w:rPr>
        <w:t xml:space="preserve">two-level cascade</w:t>
      </w:r>
      <w:r>
        <w:t xml:space="preserve"> </w:t>
      </w:r>
      <w:r>
        <w:t xml:space="preserve">that</w:t>
      </w:r>
      <w:r>
        <w:t xml:space="preserve"> </w:t>
      </w:r>
      <w:r>
        <w:t xml:space="preserve">screens easy non-events—and an expanded model zoo spanning penalised logistic regression, three</w:t>
      </w:r>
      <w:r>
        <w:t xml:space="preserve"> </w:t>
      </w:r>
      <w:r>
        <w:t xml:space="preserve">gradient-boosting implementations, random forests, multilayer perceptrons, a fully-convolutional CNN,</w:t>
      </w:r>
      <w:r>
        <w:t xml:space="preserve"> </w:t>
      </w:r>
      <w:r>
        <w:t xml:space="preserve">a residual U-Net, and a feature-tokenizer Transformer. All skill is estimated by</w:t>
      </w:r>
      <w:r>
        <w:t xml:space="preserve"> </w:t>
      </w:r>
      <w:r>
        <w:rPr>
          <w:b/>
        </w:rPr>
        <w:t xml:space="preserve">leave-one-year-out</w:t>
      </w:r>
      <w:r>
        <w:rPr>
          <w:b/>
        </w:rPr>
        <w:t xml:space="preserve"> </w:t>
      </w:r>
      <w:r>
        <w:rPr>
          <w:b/>
        </w:rPr>
        <w:t xml:space="preserve">(LOYO)</w:t>
      </w:r>
      <w:r>
        <w:t xml:space="preserve"> </w:t>
      </w:r>
      <w:r>
        <w:t xml:space="preserve">cross-validation with every fitted quantity—climatology, threshold, calibration model,</w:t>
      </w:r>
      <w:r>
        <w:t xml:space="preserve"> </w:t>
      </w:r>
      <w:r>
        <w:t xml:space="preserve">recalibration, and decision threshold—strictly excluded from the held-out year, and independently</w:t>
      </w:r>
      <w:r>
        <w:t xml:space="preserve"> </w:t>
      </w:r>
      <w:r>
        <w:t xml:space="preserve">re-derived in plain NumPy as an integrity check. Using the forecast temperature alone the calibrated</w:t>
      </w:r>
      <w:r>
        <w:t xml:space="preserve"> </w:t>
      </w:r>
      <w:r>
        <w:t xml:space="preserve">product has statistically significant Brier skill over climatology to</w:t>
      </w:r>
      <w:r>
        <w:t xml:space="preserve"> </w:t>
      </w:r>
      <w:r>
        <w:rPr>
          <w:b/>
        </w:rPr>
        <w:t xml:space="preserve">week 3 (day 24)</w:t>
      </w:r>
      <w:r>
        <w:t xml:space="preserve"> </w:t>
      </w:r>
      <w:r>
        <w:t xml:space="preserve">on the</w:t>
      </w:r>
      <w:r>
        <w:t xml:space="preserve"> </w:t>
      </w:r>
      <w:r>
        <w:t xml:space="preserve">national average, longer in the tropical south and in the pre-monsoon (March–May) season, and is far</w:t>
      </w:r>
      <w:r>
        <w:t xml:space="preserve"> </w:t>
      </w:r>
      <w:r>
        <w:t xml:space="preserve">better calibrated than the raw model (Brier skill vs raw +0.28 to +0.52). A leakage-safe</w:t>
      </w:r>
      <w:r>
        <w:t xml:space="preserve"> </w:t>
      </w:r>
      <w:r>
        <w:rPr>
          <w:b/>
        </w:rPr>
        <w:t xml:space="preserve">feature-selection</w:t>
      </w:r>
      <w:r>
        <w:t xml:space="preserve"> </w:t>
      </w:r>
      <w:r>
        <w:t xml:space="preserve">analysis then shows that once the forecast-Tx signal is exhausted at extended</w:t>
      </w:r>
      <w:r>
        <w:t xml:space="preserve"> </w:t>
      </w:r>
      <w:r>
        <w:t xml:space="preserve">range, slowly-varying predictors carry the residual predictability—ENSO Niño-3.4 is the single most</w:t>
      </w:r>
      <w:r>
        <w:t xml:space="preserve"> </w:t>
      </w:r>
      <w:r>
        <w:t xml:space="preserve">important predictor at weeks 3–6, ahead of the MJO, the 500-hPa flow, 850-hPa temperature, and</w:t>
      </w:r>
      <w:r>
        <w:t xml:space="preserve"> </w:t>
      </w:r>
      <w:r>
        <w:t xml:space="preserve">antecedent persistence, while land-surface memory adds little—and supplying these predictors with</w:t>
      </w:r>
      <w:r>
        <w:t xml:space="preserve"> </w:t>
      </w:r>
      <w:r>
        <w:t xml:space="preserve">out-of-fold calibration and stacking</w:t>
      </w:r>
      <w:r>
        <w:t xml:space="preserve"> </w:t>
      </w:r>
      <w:r>
        <w:rPr>
          <w:b/>
        </w:rPr>
        <w:t xml:space="preserve">extends significant Brier skill from week 3 to week 6</w:t>
      </w:r>
      <w:r>
        <w:t xml:space="preserve">. A</w:t>
      </w:r>
      <w:r>
        <w:t xml:space="preserve"> </w:t>
      </w:r>
      <w:r>
        <w:t xml:space="preserve">leakage-safe stacked ensemble is best at short lead; a deep network is the strongest single model at</w:t>
      </w:r>
      <w:r>
        <w:t xml:space="preserve"> </w:t>
      </w:r>
      <w:r>
        <w:t xml:space="preserve">extended range; a transparent 23-member vote ensemble roughly matches the best single member; and a</w:t>
      </w:r>
      <w:r>
        <w:t xml:space="preserve"> </w:t>
      </w:r>
      <w:r>
        <w:t xml:space="preserve">region×week event aggregation is markedly more skilful and more operationally robust than the per-cell</w:t>
      </w:r>
      <w:r>
        <w:t xml:space="preserve"> </w:t>
      </w:r>
      <w:r>
        <w:t xml:space="preserve">product. A companion test in which real large-scale fields enter a two-branch network as true spatial</w:t>
      </w:r>
      <w:r>
        <w:t xml:space="preserve"> </w:t>
      </w:r>
      <w:r>
        <w:t xml:space="preserve">channels yields a clean</w:t>
      </w:r>
      <w:r>
        <w:t xml:space="preserve"> </w:t>
      </w:r>
      <w:r>
        <w:rPr>
          <w:b/>
        </w:rPr>
        <w:t xml:space="preserve">negative result</w:t>
      </w:r>
      <w:r>
        <w:t xml:space="preserve">, indicating that the discriminative signal is carried by</w:t>
      </w:r>
      <w:r>
        <w:t xml:space="preserve"> </w:t>
      </w:r>
      <w:r>
        <w:t xml:space="preserve">the local grid-cell forecast value rather than by large-scale spatial morphology. We deliver a</w:t>
      </w:r>
      <w:r>
        <w:t xml:space="preserve"> </w:t>
      </w:r>
      <w:r>
        <w:t xml:space="preserve">CF-compliant gridded operational product and a fully reproducible, leakage-audited pipeline.</w:t>
      </w:r>
    </w:p>
    <w:p>
      <w:pPr>
        <w:pStyle w:val="BodyText"/>
      </w:pPr>
      <w:r>
        <w:rPr>
          <w:b/>
        </w:rPr>
        <w:t xml:space="preserve">Keywords:</w:t>
      </w:r>
      <w:r>
        <w:t xml:space="preserve"> </w:t>
      </w:r>
      <w:r>
        <w:t xml:space="preserve">extreme heat; heat waves; subseasonal-to-seasonal prediction; forecast calibration;</w:t>
      </w:r>
      <w:r>
        <w:t xml:space="preserve"> </w:t>
      </w:r>
      <w:r>
        <w:t xml:space="preserve">model output statistics; machine learning; ensemble; verification; Vietnam.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introduction"/>
      <w:bookmarkEnd w:id="23"/>
      <w:r>
        <w:t xml:space="preserve">1. Introduction</w:t>
      </w:r>
    </w:p>
    <w:p>
      <w:pPr>
        <w:pStyle w:val="Heading3"/>
      </w:pPr>
      <w:bookmarkStart w:id="24" w:name="a.-extreme-heat-its-impacts-and-the-vietnamese-setting"/>
      <w:bookmarkEnd w:id="24"/>
      <w:r>
        <w:t xml:space="preserve">a. Extreme heat, its impacts, and the Vietnamese setting</w:t>
      </w:r>
    </w:p>
    <w:p>
      <w:pPr>
        <w:pStyle w:val="FirstParagraph"/>
      </w:pPr>
      <w:r>
        <w:t xml:space="preserve">Prolonged and intense hot spells cause excess mortality, strain electricity systems, and depress</w:t>
      </w:r>
      <w:r>
        <w:t xml:space="preserve"> </w:t>
      </w:r>
      <w:r>
        <w:t xml:space="preserve">agricultural and labour productivity across Southeast Asia, and their frequency, duration, and intensity</w:t>
      </w:r>
      <w:r>
        <w:t xml:space="preserve"> </w:t>
      </w:r>
      <w:r>
        <w:t xml:space="preserve">have risen with anthropogenic warming and are projected to intensify further (Perkins-Kirkpatrick and</w:t>
      </w:r>
      <w:r>
        <w:t xml:space="preserve"> </w:t>
      </w:r>
      <w:r>
        <w:t xml:space="preserve">Lewis 2020; Perkins 2015;</w:t>
      </w:r>
      <w:r>
        <w:t xml:space="preserve"> </w:t>
      </w:r>
      <w:r>
        <w:rPr>
          <w:i/>
        </w:rPr>
        <w:t xml:space="preserve">Heatwaves in Southeast Asia and their changes in a warmer world</w:t>
      </w:r>
      <w:r>
        <w:t xml:space="preserve">, 2021). The</w:t>
      </w:r>
      <w:r>
        <w:t xml:space="preserve"> </w:t>
      </w:r>
      <w:r>
        <w:t xml:space="preserve">region's heat is increasingly humid, compounding its physiological impact (Li 2020), and the</w:t>
      </w:r>
      <w:r>
        <w:t xml:space="preserve"> </w:t>
      </w:r>
      <w:r>
        <w:t xml:space="preserve">unprecedented 2023 Southeast Asia event underscored both the severity and the limited predictability of</w:t>
      </w:r>
      <w:r>
        <w:t xml:space="preserve"> </w:t>
      </w:r>
      <w:r>
        <w:t xml:space="preserve">such extremes (</w:t>
      </w:r>
      <w:r>
        <w:rPr>
          <w:i/>
        </w:rPr>
        <w:t xml:space="preserve">The characterization, mechanism, predictability, and impacts of the unprecedented 2023</w:t>
      </w:r>
      <w:r>
        <w:rPr>
          <w:i/>
        </w:rPr>
        <w:t xml:space="preserve"> </w:t>
      </w:r>
      <w:r>
        <w:rPr>
          <w:i/>
        </w:rPr>
        <w:t xml:space="preserve">Southeast Asia heatwave</w:t>
      </w:r>
      <w:r>
        <w:t xml:space="preserve">). Vietnam is particularly exposed: it spans roughly 8.5–23.5 °N over seven</w:t>
      </w:r>
      <w:r>
        <w:t xml:space="preserve"> </w:t>
      </w:r>
      <w:r>
        <w:t xml:space="preserve">climatologically distinct regions, from the subtropical, monsoon-modulated north to the persistently hot</w:t>
      </w:r>
      <w:r>
        <w:t xml:space="preserve"> </w:t>
      </w:r>
      <w:r>
        <w:t xml:space="preserve">tropical south, and experiences extreme heat with pronounced seasonal and latitudinal structure—a</w:t>
      </w:r>
      <w:r>
        <w:t xml:space="preserve"> </w:t>
      </w:r>
      <w:r>
        <w:t xml:space="preserve">pre-monsoon (March–May, MAM) peak in the north and centre driven by subsidence and adiabatic warming</w:t>
      </w:r>
      <w:r>
        <w:t xml:space="preserve"> </w:t>
      </w:r>
      <w:r>
        <w:t xml:space="preserve">ahead of the summer monsoon, and a more time-invariant tropical regime in the south. Over the wider</w:t>
      </w:r>
      <w:r>
        <w:t xml:space="preserve"> </w:t>
      </w:r>
      <w:r>
        <w:t xml:space="preserve">Indochina Peninsula the synoptic controls, long-term trends, and their modulation by ENSO are now</w:t>
      </w:r>
      <w:r>
        <w:t xml:space="preserve"> </w:t>
      </w:r>
      <w:r>
        <w:t xml:space="preserve">reasonably well characterised (</w:t>
      </w:r>
      <w:r>
        <w:rPr>
          <w:i/>
        </w:rPr>
        <w:t xml:space="preserve">Synoptic characteristics … of heat waves over the Indochina Peninsula</w:t>
      </w:r>
      <w:r>
        <w:t xml:space="preserve">;</w:t>
      </w:r>
      <w:r>
        <w:t xml:space="preserve"> </w:t>
      </w:r>
      <w:r>
        <w:rPr>
          <w:i/>
        </w:rPr>
        <w:t xml:space="preserve">Impacts of El Niño–Southern Oscillation on heat waves in the Indochina Peninsula</w:t>
      </w:r>
      <w:r>
        <w:t xml:space="preserve">), and the human</w:t>
      </w:r>
      <w:r>
        <w:t xml:space="preserve"> </w:t>
      </w:r>
      <w:r>
        <w:t xml:space="preserve">dimension in Vietnam—spatial patterns of health vulnerability, occupational heat exposure, and the value</w:t>
      </w:r>
      <w:r>
        <w:t xml:space="preserve"> </w:t>
      </w:r>
      <w:r>
        <w:t xml:space="preserve">of early-warning systems—is an active field (</w:t>
      </w:r>
      <w:r>
        <w:rPr>
          <w:i/>
        </w:rPr>
        <w:t xml:space="preserve">Spatial patterns of health vulnerability to heatwaves in</w:t>
      </w:r>
      <w:r>
        <w:rPr>
          <w:i/>
        </w:rPr>
        <w:t xml:space="preserve"> </w:t>
      </w:r>
      <w:r>
        <w:rPr>
          <w:i/>
        </w:rPr>
        <w:t xml:space="preserve">Vietnam</w:t>
      </w:r>
      <w:r>
        <w:t xml:space="preserve">;</w:t>
      </w:r>
      <w:r>
        <w:t xml:space="preserve"> </w:t>
      </w:r>
      <w:r>
        <w:rPr>
          <w:i/>
        </w:rPr>
        <w:t xml:space="preserve">Heat index trends … for occupational heat exposure in Da Nang, Vietnam</w:t>
      </w:r>
      <w:r>
        <w:t xml:space="preserve">;</w:t>
      </w:r>
      <w:r>
        <w:t xml:space="preserve"> </w:t>
      </w:r>
      <w:r>
        <w:rPr>
          <w:i/>
        </w:rPr>
        <w:t xml:space="preserve">Valuation of a</w:t>
      </w:r>
      <w:r>
        <w:rPr>
          <w:i/>
        </w:rPr>
        <w:t xml:space="preserve"> </w:t>
      </w:r>
      <w:r>
        <w:rPr>
          <w:i/>
        </w:rPr>
        <w:t xml:space="preserve">heatwave early warning system … in Central Vietnam</w:t>
      </w:r>
      <w:r>
        <w:t xml:space="preserve">). Heat preparedness—pre-positioning health</w:t>
      </w:r>
      <w:r>
        <w:t xml:space="preserve"> </w:t>
      </w:r>
      <w:r>
        <w:t xml:space="preserve">resources, scheduling grid maintenance and demand management, advising outdoor labour and agriculture—</w:t>
      </w:r>
      <w:r>
        <w:t xml:space="preserve"> </w:t>
      </w:r>
      <w:r>
        <w:t xml:space="preserve">requires lead times of two to six weeks, precisely the</w:t>
      </w:r>
      <w:r>
        <w:t xml:space="preserve"> </w:t>
      </w:r>
      <w:r>
        <w:rPr>
          <w:b/>
        </w:rPr>
        <w:t xml:space="preserve">subseasonal-to-seasonal (S2S)</w:t>
      </w:r>
      <w:r>
        <w:t xml:space="preserve"> </w:t>
      </w:r>
      <w:r>
        <w:t xml:space="preserve">range where raw</w:t>
      </w:r>
      <w:r>
        <w:t xml:space="preserve"> </w:t>
      </w:r>
      <w:r>
        <w:t xml:space="preserve">dynamical skill for surface-temperature extremes is marginal and where statistical post-processing is</w:t>
      </w:r>
      <w:r>
        <w:t xml:space="preserve"> </w:t>
      </w:r>
      <w:r>
        <w:t xml:space="preserve">indispensable (White et al. 2017; Robertson et al. 2020; Vitart et al. 2017).</w:t>
      </w:r>
    </w:p>
    <w:p>
      <w:pPr>
        <w:pStyle w:val="Heading3"/>
      </w:pPr>
      <w:bookmarkStart w:id="25" w:name="b.-predictability-of-heat-extremes-at-the-s2s-range"/>
      <w:bookmarkEnd w:id="25"/>
      <w:r>
        <w:t xml:space="preserve">b. Predictability of heat extremes at the S2S range</w:t>
      </w:r>
    </w:p>
    <w:p>
      <w:pPr>
        <w:pStyle w:val="FirstParagraph"/>
      </w:pPr>
      <w:r>
        <w:t xml:space="preserve">The S2S range bridges the deterministic weather limit (~10 days) and the seasonal range in which</w:t>
      </w:r>
      <w:r>
        <w:t xml:space="preserve"> </w:t>
      </w:r>
      <w:r>
        <w:t xml:space="preserve">boundary conditions dominate, and it draws predictability from a distinct set of slowly-varying</w:t>
      </w:r>
      <w:r>
        <w:t xml:space="preserve"> </w:t>
      </w:r>
      <w:r>
        <w:t xml:space="preserve">sources: the Madden–Julian Oscillation (MJO; Madden and Julian 1971; Vitart 2014; Lim et al. 2018),</w:t>
      </w:r>
      <w:r>
        <w:t xml:space="preserve"> </w:t>
      </w:r>
      <w:r>
        <w:t xml:space="preserve">the El Niño–Southern Oscillation (ENSO) and its modulation of tropical convection and the subtropical</w:t>
      </w:r>
      <w:r>
        <w:t xml:space="preserve"> </w:t>
      </w:r>
      <w:r>
        <w:t xml:space="preserve">highs, quasi-stationary Rossby-wave patterns in the 500-hPa flow, and land-surface memory through soil</w:t>
      </w:r>
      <w:r>
        <w:t xml:space="preserve"> </w:t>
      </w:r>
      <w:r>
        <w:t xml:space="preserve">moisture (Koster et al. 2010; Miralles et al. 2014). For heat specifically, several of these operate in</w:t>
      </w:r>
      <w:r>
        <w:t xml:space="preserve"> </w:t>
      </w:r>
      <w:r>
        <w:t xml:space="preserve">tandem: blocking and anticyclonic anomalies aloft, warm-advection and subsidence in the lower</w:t>
      </w:r>
      <w:r>
        <w:t xml:space="preserve"> </w:t>
      </w:r>
      <w:r>
        <w:t xml:space="preserve">troposphere, and antecedent surface dryness that shifts the surface energy balance towards sensible</w:t>
      </w:r>
      <w:r>
        <w:t xml:space="preserve"> </w:t>
      </w:r>
      <w:r>
        <w:t xml:space="preserve">heating (Perkins 2015; Miralles et al. 2014). Regional S2S studies have quantified these sources and the</w:t>
      </w:r>
      <w:r>
        <w:t xml:space="preserve"> </w:t>
      </w:r>
      <w:r>
        <w:t xml:space="preserve">resulting skill for heatwaves over the Yangtze River Basin (Xie et al. 2020; Pan et al. 2026), India</w:t>
      </w:r>
      <w:r>
        <w:t xml:space="preserve"> </w:t>
      </w:r>
      <w:r>
        <w:t xml:space="preserve">(Mandal et al. 2025), West African cities, and Europe, and have shown that hot extremes can be</w:t>
      </w:r>
      <w:r>
        <w:t xml:space="preserve"> </w:t>
      </w:r>
      <w:r>
        <w:rPr>
          <w:i/>
        </w:rPr>
        <w:t xml:space="preserve">more</w:t>
      </w:r>
      <w:r>
        <w:t xml:space="preserve"> </w:t>
      </w:r>
      <w:r>
        <w:t xml:space="preserve">predictable than average summers at subseasonal range and that land-surface uncertainty and</w:t>
      </w:r>
      <w:r>
        <w:t xml:space="preserve"> </w:t>
      </w:r>
      <w:r>
        <w:t xml:space="preserve">soil-moisture coupling modulate that skill (</w:t>
      </w:r>
      <w:r>
        <w:rPr>
          <w:i/>
        </w:rPr>
        <w:t xml:space="preserve">Higher subseasonal predictability of extreme hot European</w:t>
      </w:r>
      <w:r>
        <w:rPr>
          <w:i/>
        </w:rPr>
        <w:t xml:space="preserve"> </w:t>
      </w:r>
      <w:r>
        <w:rPr>
          <w:i/>
        </w:rPr>
        <w:t xml:space="preserve">summer temperatures</w:t>
      </w:r>
      <w:r>
        <w:t xml:space="preserve">;</w:t>
      </w:r>
      <w:r>
        <w:t xml:space="preserve"> </w:t>
      </w:r>
      <w:r>
        <w:rPr>
          <w:i/>
        </w:rPr>
        <w:t xml:space="preserve">Skillful subseasonal ensemble predictions of heat wave onsets through better</w:t>
      </w:r>
      <w:r>
        <w:rPr>
          <w:i/>
        </w:rPr>
        <w:t xml:space="preserve"> </w:t>
      </w:r>
      <w:r>
        <w:rPr>
          <w:i/>
        </w:rPr>
        <w:t xml:space="preserve">representation of land surface uncertainties</w:t>
      </w:r>
      <w:r>
        <w:t xml:space="preserve">;</w:t>
      </w:r>
      <w:r>
        <w:t xml:space="preserve"> </w:t>
      </w:r>
      <w:r>
        <w:rPr>
          <w:i/>
        </w:rPr>
        <w:t xml:space="preserve">Precipitation and soil moisture coupling constrains</w:t>
      </w:r>
      <w:r>
        <w:rPr>
          <w:i/>
        </w:rPr>
        <w:t xml:space="preserve"> </w:t>
      </w:r>
      <w:r>
        <w:rPr>
          <w:i/>
        </w:rPr>
        <w:t xml:space="preserve">subseasonal predictability of a prolonged extreme heatwave</w:t>
      </w:r>
      <w:r>
        <w:t xml:space="preserve">). Which source dominates is strongly</w:t>
      </w:r>
      <w:r>
        <w:t xml:space="preserve"> </w:t>
      </w:r>
      <w:r>
        <w:t xml:space="preserve">lead-dependent—near initialisation the dynamical forecast still carries usable temperature information,</w:t>
      </w:r>
      <w:r>
        <w:t xml:space="preserve"> </w:t>
      </w:r>
      <w:r>
        <w:t xml:space="preserve">whereas past two to three weeks that signal is largely exhausted and the residual predictability lives</w:t>
      </w:r>
      <w:r>
        <w:t xml:space="preserve"> </w:t>
      </w:r>
      <w:r>
        <w:t xml:space="preserve">in the boundary and large-scale states. A forecast system for this range should therefore be designed to</w:t>
      </w:r>
      <w:r>
        <w:t xml:space="preserve"> </w:t>
      </w:r>
      <w:r>
        <w:t xml:space="preserve">be</w:t>
      </w:r>
      <w:r>
        <w:t xml:space="preserve"> </w:t>
      </w:r>
      <w:r>
        <w:rPr>
          <w:b/>
        </w:rPr>
        <w:t xml:space="preserve">lead-aware</w:t>
      </w:r>
      <w:r>
        <w:t xml:space="preserve">, and a central empirical question of this paper is</w:t>
      </w:r>
      <w:r>
        <w:t xml:space="preserve"> </w:t>
      </w:r>
      <w:r>
        <w:rPr>
          <w:i/>
        </w:rPr>
        <w:t xml:space="preserve">how far, and from which physical</w:t>
      </w:r>
      <w:r>
        <w:rPr>
          <w:i/>
        </w:rPr>
        <w:t xml:space="preserve"> </w:t>
      </w:r>
      <w:r>
        <w:rPr>
          <w:i/>
        </w:rPr>
        <w:t xml:space="preserve">sources, the skilful horizon for extreme heat over Vietnam can be pushed.</w:t>
      </w:r>
    </w:p>
    <w:p>
      <w:pPr>
        <w:pStyle w:val="Heading3"/>
      </w:pPr>
      <w:bookmarkStart w:id="26" w:name="c.-statistical-post-processing-and-machine-learning"/>
      <w:bookmarkEnd w:id="26"/>
      <w:r>
        <w:t xml:space="preserve">c. Statistical post-processing and machine learning</w:t>
      </w:r>
    </w:p>
    <w:p>
      <w:pPr>
        <w:pStyle w:val="FirstParagraph"/>
      </w:pPr>
      <w:r>
        <w:t xml:space="preserve">Raw dynamical output at the S2S range is biased and, when converted naively to probabilities,</w:t>
      </w:r>
      <w:r>
        <w:t xml:space="preserve"> </w:t>
      </w:r>
      <w:r>
        <w:t xml:space="preserve">badly calibrated; skilful probabilistic guidance almost always requires statistical post-processing</w:t>
      </w:r>
      <w:r>
        <w:t xml:space="preserve"> </w:t>
      </w:r>
      <w:r>
        <w:t xml:space="preserve">(Wilks 2011; Vannitsem et al. 2021). The classical tool is</w:t>
      </w:r>
      <w:r>
        <w:t xml:space="preserve"> </w:t>
      </w:r>
      <w:r>
        <w:rPr>
          <w:b/>
        </w:rPr>
        <w:t xml:space="preserve">model output statistics</w:t>
      </w:r>
      <w:r>
        <w:t xml:space="preserve"> </w:t>
      </w:r>
      <w:r>
        <w:t xml:space="preserve">(MOS): a</w:t>
      </w:r>
      <w:r>
        <w:t xml:space="preserve"> </w:t>
      </w:r>
      <w:r>
        <w:t xml:space="preserve">regression from model predictors to the observed variable or its probability. Modern practice augments</w:t>
      </w:r>
      <w:r>
        <w:t xml:space="preserve"> </w:t>
      </w:r>
      <w:r>
        <w:t xml:space="preserve">linear MOS with machine-learning regressors and, increasingly, neural networks, which have been shown</w:t>
      </w:r>
      <w:r>
        <w:t xml:space="preserve"> </w:t>
      </w:r>
      <w:r>
        <w:t xml:space="preserve">to match or exceed established ensemble post-processing on temperature and other fields (Rasp and Lerch</w:t>
      </w:r>
      <w:r>
        <w:t xml:space="preserve"> </w:t>
      </w:r>
      <w:r>
        <w:t xml:space="preserve">2018; Grönquist et al. 2021; Schulz and Lerch 2022; Vannitsem et al. 2021). For heat specifically, a</w:t>
      </w:r>
      <w:r>
        <w:t xml:space="preserve"> </w:t>
      </w:r>
      <w:r>
        <w:t xml:space="preserve">rapidly growing literature applies random forests, gradient boosting, convolutional and deep networks,</w:t>
      </w:r>
      <w:r>
        <w:t xml:space="preserve"> </w:t>
      </w:r>
      <w:r>
        <w:t xml:space="preserve">and hybrid dynamical–statistical schemes to subseasonal and seasonal heatwave prediction—often with</w:t>
      </w:r>
      <w:r>
        <w:t xml:space="preserve"> </w:t>
      </w:r>
      <w:r>
        <w:t xml:space="preserve">explainable-AI diagnostics of the learned predictors—and reports skill gains over raw dynamical output</w:t>
      </w:r>
      <w:r>
        <w:t xml:space="preserve"> </w:t>
      </w:r>
      <w:r>
        <w:t xml:space="preserve">(</w:t>
      </w:r>
      <w:r>
        <w:rPr>
          <w:i/>
        </w:rPr>
        <w:t xml:space="preserve">Subseasonal prediction of central European summer heatwaves with linear and random forest machine</w:t>
      </w:r>
      <w:r>
        <w:rPr>
          <w:i/>
        </w:rPr>
        <w:t xml:space="preserve"> </w:t>
      </w:r>
      <w:r>
        <w:rPr>
          <w:i/>
        </w:rPr>
        <w:t xml:space="preserve">learning models</w:t>
      </w:r>
      <w:r>
        <w:t xml:space="preserve">;</w:t>
      </w:r>
      <w:r>
        <w:t xml:space="preserve"> </w:t>
      </w:r>
      <w:r>
        <w:rPr>
          <w:i/>
        </w:rPr>
        <w:t xml:space="preserve">Probabilistic forecasts of extreme heatwaves using convolutional neural networks in a</w:t>
      </w:r>
      <w:r>
        <w:rPr>
          <w:i/>
        </w:rPr>
        <w:t xml:space="preserve"> </w:t>
      </w:r>
      <w:r>
        <w:rPr>
          <w:i/>
        </w:rPr>
        <w:t xml:space="preserve">regime of lack of data</w:t>
      </w:r>
      <w:r>
        <w:t xml:space="preserve">;</w:t>
      </w:r>
      <w:r>
        <w:t xml:space="preserve"> </w:t>
      </w:r>
      <w:r>
        <w:rPr>
          <w:i/>
        </w:rPr>
        <w:t xml:space="preserve">Advancing subseasonal surface air temperature and heat wave prediction skill …</w:t>
      </w:r>
      <w:r>
        <w:rPr>
          <w:i/>
        </w:rPr>
        <w:t xml:space="preserve"> </w:t>
      </w:r>
      <w:r>
        <w:rPr>
          <w:i/>
        </w:rPr>
        <w:t xml:space="preserve">in a deep learning model</w:t>
      </w:r>
      <w:r>
        <w:t xml:space="preserve">;</w:t>
      </w:r>
      <w:r>
        <w:t xml:space="preserve"> </w:t>
      </w:r>
      <w:r>
        <w:rPr>
          <w:i/>
        </w:rPr>
        <w:t xml:space="preserve">Seasonal heatwave forecasting with explainable machine learning and remote</w:t>
      </w:r>
      <w:r>
        <w:rPr>
          <w:i/>
        </w:rPr>
        <w:t xml:space="preserve"> </w:t>
      </w:r>
      <w:r>
        <w:rPr>
          <w:i/>
        </w:rPr>
        <w:t xml:space="preserve">sensing data</w:t>
      </w:r>
      <w:r>
        <w:t xml:space="preserve">;</w:t>
      </w:r>
      <w:r>
        <w:t xml:space="preserve"> </w:t>
      </w:r>
      <w:r>
        <w:rPr>
          <w:i/>
        </w:rPr>
        <w:t xml:space="preserve">Decoding sub-seasonal predictors of extreme heat with interpretable machine learning</w:t>
      </w:r>
      <w:r>
        <w:t xml:space="preserve">).</w:t>
      </w:r>
      <w:r>
        <w:t xml:space="preserve"> </w:t>
      </w:r>
      <w:r>
        <w:t xml:space="preserve">We adopt this machine-learning-augmented MOS view but hold it to a strict out-of-sample standard and,</w:t>
      </w:r>
      <w:r>
        <w:t xml:space="preserve"> </w:t>
      </w:r>
      <w:r>
        <w:t xml:space="preserve">critically, adapt it to the single-member setting. Two properties of the</w:t>
      </w:r>
      <w:r>
        <w:t xml:space="preserve"> </w:t>
      </w:r>
      <w:r>
        <w:t xml:space="preserve">present problem shape the method. First, calibration and discrimination are distinct goals: a flexible</w:t>
      </w:r>
      <w:r>
        <w:t xml:space="preserve"> </w:t>
      </w:r>
      <w:r>
        <w:t xml:space="preserve">model can be</w:t>
      </w:r>
      <w:r>
        <w:t xml:space="preserve"> </w:t>
      </w:r>
      <w:r>
        <w:rPr>
          <w:i/>
        </w:rPr>
        <w:t xml:space="preserve">sharper</w:t>
      </w:r>
      <w:r>
        <w:t xml:space="preserve"> </w:t>
      </w:r>
      <w:r>
        <w:t xml:space="preserve">yet</w:t>
      </w:r>
      <w:r>
        <w:t xml:space="preserve"> </w:t>
      </w:r>
      <w:r>
        <w:rPr>
          <w:i/>
        </w:rPr>
        <w:t xml:space="preserve">less reliable</w:t>
      </w:r>
      <w:r>
        <w:t xml:space="preserve">, so probabilities must be recalibrated—here by isotonic</w:t>
      </w:r>
      <w:r>
        <w:t xml:space="preserve"> </w:t>
      </w:r>
      <w:r>
        <w:t xml:space="preserve">regression (Zadrozny and Elkan 2002; Niculescu-Mizil and Caruana 2005)—and evaluated with</w:t>
      </w:r>
      <w:r>
        <w:t xml:space="preserve"> </w:t>
      </w:r>
      <w:r>
        <w:rPr>
          <w:b/>
        </w:rPr>
        <w:t xml:space="preserve">proper</w:t>
      </w:r>
      <w:r>
        <w:rPr>
          <w:b/>
        </w:rPr>
        <w:t xml:space="preserve"> </w:t>
      </w:r>
      <w:r>
        <w:rPr>
          <w:b/>
        </w:rPr>
        <w:t xml:space="preserve">scoring rules</w:t>
      </w:r>
      <w:r>
        <w:t xml:space="preserve"> </w:t>
      </w:r>
      <w:r>
        <w:t xml:space="preserve">that reward calibration and sharpness jointly (Gneiting and Raftery 2007; Gneiting et</w:t>
      </w:r>
      <w:r>
        <w:t xml:space="preserve"> </w:t>
      </w:r>
      <w:r>
        <w:t xml:space="preserve">al. 2007). Second, because extreme heat is a</w:t>
      </w:r>
      <w:r>
        <w:t xml:space="preserve"> </w:t>
      </w:r>
      <w:r>
        <w:rPr>
          <w:b/>
        </w:rPr>
        <w:t xml:space="preserve">rare, extremal</w:t>
      </w:r>
      <w:r>
        <w:t xml:space="preserve"> </w:t>
      </w:r>
      <w:r>
        <w:t xml:space="preserve">event, verification must use metrics</w:t>
      </w:r>
      <w:r>
        <w:t xml:space="preserve"> </w:t>
      </w:r>
      <w:r>
        <w:t xml:space="preserve">that do not degenerate to triviality as the base rate falls—the extremal-dependence indices EDI and</w:t>
      </w:r>
      <w:r>
        <w:t xml:space="preserve"> </w:t>
      </w:r>
      <w:r>
        <w:t xml:space="preserve">SEDI (Ferro and Stephenson 2011) alongside the Brier score and its decomposition (Brier 1950; Murphy</w:t>
      </w:r>
      <w:r>
        <w:t xml:space="preserve"> </w:t>
      </w:r>
      <w:r>
        <w:t xml:space="preserve">1973).</w:t>
      </w:r>
    </w:p>
    <w:p>
      <w:pPr>
        <w:pStyle w:val="Heading3"/>
      </w:pPr>
      <w:bookmarkStart w:id="27" w:name="d.-the-single-member-constraint"/>
      <w:bookmarkEnd w:id="27"/>
      <w:r>
        <w:t xml:space="preserve">d. The single-member constraint</w:t>
      </w:r>
    </w:p>
    <w:p>
      <w:pPr>
        <w:pStyle w:val="FirstParagraph"/>
      </w:pPr>
      <w:r>
        <w:t xml:space="preserve">Most probabilistic S2S calibration presumes an ensemble: probabilities begin as exceedance fractions</w:t>
      </w:r>
      <w:r>
        <w:t xml:space="preserve"> </w:t>
      </w:r>
      <w:r>
        <w:t xml:space="preserve">over perturbed members and are corrected by ensemble-MOS, and the ensemble supports spread-based</w:t>
      </w:r>
      <w:r>
        <w:t xml:space="preserve"> </w:t>
      </w:r>
      <w:r>
        <w:t xml:space="preserve">uncertainty and rank-histogram diagnostics (Vannitsem et al. 2021). The reforecast archive available</w:t>
      </w:r>
      <w:r>
        <w:t xml:space="preserve"> </w:t>
      </w:r>
      <w:r>
        <w:t xml:space="preserve">here is</w:t>
      </w:r>
      <w:r>
        <w:t xml:space="preserve"> </w:t>
      </w:r>
      <w:r>
        <w:rPr>
          <w:b/>
        </w:rPr>
        <w:t xml:space="preserve">control-only</w:t>
      </w:r>
      <w:r>
        <w:t xml:space="preserve">—a single deterministic member per initialisation—which removes that entire</w:t>
      </w:r>
      <w:r>
        <w:t xml:space="preserve"> </w:t>
      </w:r>
      <w:r>
        <w:t xml:space="preserve">machinery. This is not merely an inconvenience: it forces probabilities to be produced by</w:t>
      </w:r>
      <w:r>
        <w:t xml:space="preserve"> </w:t>
      </w:r>
      <w:r>
        <w:rPr>
          <w:b/>
        </w:rPr>
        <w:t xml:space="preserve">single-member MOS / distributional regression</w:t>
      </w:r>
      <w:r>
        <w:t xml:space="preserve">, in which the model learns a mapping from the</w:t>
      </w:r>
      <w:r>
        <w:t xml:space="preserve"> </w:t>
      </w:r>
      <w:r>
        <w:t xml:space="preserve">deterministic forecast (plus covariates) to a calibrated event probability, and it makes the choice of</w:t>
      </w:r>
      <w:r>
        <w:t xml:space="preserve"> </w:t>
      </w:r>
      <w:r>
        <w:t xml:space="preserve">predictand, model family, and calibration the load-bearing design decisions rather than the ensemble</w:t>
      </w:r>
      <w:r>
        <w:t xml:space="preserve"> </w:t>
      </w:r>
      <w:r>
        <w:t xml:space="preserve">statistics. Comparatively little of the S2S post-processing literature addresses the single-member</w:t>
      </w:r>
      <w:r>
        <w:t xml:space="preserve"> </w:t>
      </w:r>
      <w:r>
        <w:t xml:space="preserve">case for extremes directly, and doing so rigorously—without leaking information across the</w:t>
      </w:r>
      <w:r>
        <w:t xml:space="preserve"> </w:t>
      </w:r>
      <w:r>
        <w:t xml:space="preserve">cross-validation boundary—is a contribution in its own right.</w:t>
      </w:r>
    </w:p>
    <w:p>
      <w:pPr>
        <w:pStyle w:val="Heading3"/>
      </w:pPr>
      <w:bookmarkStart w:id="28" w:name="e.-objectives-and-contributions"/>
      <w:bookmarkEnd w:id="28"/>
      <w:r>
        <w:t xml:space="preserve">e. Objectives and contributions</w:t>
      </w:r>
    </w:p>
    <w:p>
      <w:pPr>
        <w:pStyle w:val="FirstParagraph"/>
      </w:pPr>
      <w:r>
        <w:t xml:space="preserve">Against this background, and driven by two concrete consumers—a duty forecaster who must run the</w:t>
      </w:r>
      <w:r>
        <w:t xml:space="preserve"> </w:t>
      </w:r>
      <w:r>
        <w:t xml:space="preserve">system on a schedule to 45 days, and a peer-reviewed audience that requires the method to be</w:t>
      </w:r>
      <w:r>
        <w:t xml:space="preserve"> </w:t>
      </w:r>
      <w:r>
        <w:t xml:space="preserve">leakage-free and reproducible by someone who did not build it—this paper makes the following</w:t>
      </w:r>
      <w:r>
        <w:t xml:space="preserve"> </w:t>
      </w:r>
      <w:r>
        <w:t xml:space="preserve">contributions.</w:t>
      </w:r>
    </w:p>
    <w:p>
      <w:pPr>
        <w:pStyle w:val="Compact"/>
        <w:numPr>
          <w:numId w:val="1001"/>
          <w:ilvl w:val="0"/>
        </w:numPr>
      </w:pPr>
      <w:r>
        <w:t xml:space="preserve">A fixed, physically-motivated</w:t>
      </w:r>
      <w:r>
        <w:t xml:space="preserve"> </w:t>
      </w:r>
      <w:r>
        <w:rPr>
          <w:b/>
        </w:rPr>
        <w:t xml:space="preserve">extreme-heat-day index</w:t>
      </w:r>
      <w:r>
        <w:t xml:space="preserve"> </w:t>
      </w:r>
      <w:r>
        <w:t xml:space="preserve">and a family of related predictands—the</w:t>
      </w:r>
      <w:r>
        <w:t xml:space="preserve"> </w:t>
      </w:r>
      <w:r>
        <w:t xml:space="preserve">daily EHD, the block</w:t>
      </w:r>
      <w:r>
        <w:t xml:space="preserve"> </w:t>
      </w:r>
      <w:r>
        <w:rPr>
          <w:b/>
        </w:rPr>
        <w:t xml:space="preserve">event</w:t>
      </w:r>
      <w:r>
        <w:t xml:space="preserve"> </w:t>
      </w:r>
      <w:r>
        <w:t xml:space="preserve">EHDE, a</w:t>
      </w:r>
      <w:r>
        <w:t xml:space="preserve"> </w:t>
      </w:r>
      <w:r>
        <w:rPr>
          <w:b/>
        </w:rPr>
        <w:t xml:space="preserve">severity</w:t>
      </w:r>
      <w:r>
        <w:t xml:space="preserve"> </w:t>
      </w:r>
      <w:r>
        <w:t xml:space="preserve">variable</w:t>
      </w:r>
      <w:r>
        <w:t xml:space="preserve"> </w:t>
      </w:r>
      <w:r>
        <w:rPr>
          <w:rStyle w:val="VerbatimChar"/>
        </w:rPr>
        <w:t xml:space="preserve">Sev</w:t>
      </w:r>
      <w:r>
        <w:t xml:space="preserve">, and a</w:t>
      </w:r>
      <w:r>
        <w:t xml:space="preserve"> </w:t>
      </w:r>
      <w:r>
        <w:rPr>
          <w:b/>
        </w:rPr>
        <w:t xml:space="preserve">heat-wave</w:t>
      </w:r>
      <w:r>
        <w:t xml:space="preserve"> </w:t>
      </w:r>
      <w:r>
        <w:t xml:space="preserve">target—with</w:t>
      </w:r>
      <w:r>
        <w:t xml:space="preserve"> </w:t>
      </w:r>
      <w:r>
        <w:t xml:space="preserve">a six-block lead-time verification protocol and an explicit block-straddle rule (§3a–b).</w:t>
      </w:r>
    </w:p>
    <w:p>
      <w:pPr>
        <w:pStyle w:val="Compact"/>
        <w:numPr>
          <w:numId w:val="1001"/>
          <w:ilvl w:val="0"/>
        </w:numPr>
      </w:pPr>
      <w:r>
        <w:t xml:space="preserve">A</w:t>
      </w:r>
      <w:r>
        <w:t xml:space="preserve"> </w:t>
      </w:r>
      <w:r>
        <w:rPr>
          <w:b/>
        </w:rPr>
        <w:t xml:space="preserve">single-member MOS framework</w:t>
      </w:r>
      <w:r>
        <w:t xml:space="preserve"> </w:t>
      </w:r>
      <w:r>
        <w:t xml:space="preserve">and an expanded, lead-aware</w:t>
      </w:r>
      <w:r>
        <w:t xml:space="preserve"> </w:t>
      </w:r>
      <w:r>
        <w:rPr>
          <w:b/>
        </w:rPr>
        <w:t xml:space="preserve">machine-learning model zoo</w:t>
      </w:r>
      <w:r>
        <w:t xml:space="preserve"> </w:t>
      </w:r>
      <w:r>
        <w:t xml:space="preserve">(penalised logistic regression, three gradient-boosting implementations, random forests, multilayer</w:t>
      </w:r>
      <w:r>
        <w:t xml:space="preserve"> </w:t>
      </w:r>
      <w:r>
        <w:t xml:space="preserve">perceptrons, a fully-convolutional CNN, a residual U-Net, and a feature-tokenizer Transformer), all</w:t>
      </w:r>
      <w:r>
        <w:t xml:space="preserve"> </w:t>
      </w:r>
      <w:r>
        <w:t xml:space="preserve">documented to the level required for reproduction (§3e) and all verified strictly out-of-sample.</w:t>
      </w:r>
    </w:p>
    <w:p>
      <w:pPr>
        <w:pStyle w:val="Compact"/>
        <w:numPr>
          <w:numId w:val="1001"/>
          <w:ilvl w:val="0"/>
        </w:numPr>
      </w:pPr>
      <w:r>
        <w:t xml:space="preserve">A head-to-head comparison of three</w:t>
      </w:r>
      <w:r>
        <w:t xml:space="preserve"> </w:t>
      </w:r>
      <w:r>
        <w:rPr>
          <w:b/>
        </w:rPr>
        <w:t xml:space="preserve">predictand formulations</w:t>
      </w:r>
      <w:r>
        <w:t xml:space="preserve">—event classification, severity</w:t>
      </w:r>
      <w:r>
        <w:t xml:space="preserve"> </w:t>
      </w:r>
      <w:r>
        <w:t xml:space="preserve">regression with an isotonic probability link, and a two-level cascade that screens easy</w:t>
      </w:r>
      <w:r>
        <w:t xml:space="preserve"> </w:t>
      </w:r>
      <w:r>
        <w:t xml:space="preserve">non-events—on a common leakage-safe footing (§3a, §3f, §4f).</w:t>
      </w:r>
    </w:p>
    <w:p>
      <w:pPr>
        <w:pStyle w:val="Compact"/>
        <w:numPr>
          <w:numId w:val="1001"/>
          <w:ilvl w:val="0"/>
        </w:numPr>
      </w:pPr>
      <w:r>
        <w:t xml:space="preserve">A leakage-safe</w:t>
      </w:r>
      <w:r>
        <w:t xml:space="preserve"> </w:t>
      </w:r>
      <w:r>
        <w:rPr>
          <w:b/>
        </w:rPr>
        <w:t xml:space="preserve">predictor-pool construction and selection</w:t>
      </w:r>
      <w:r>
        <w:t xml:space="preserve"> </w:t>
      </w:r>
      <w:r>
        <w:t xml:space="preserve">over land-surface, local-thermodynamic,</w:t>
      </w:r>
      <w:r>
        <w:t xml:space="preserve"> </w:t>
      </w:r>
      <w:r>
        <w:t xml:space="preserve">large-scale-circulation, and teleconnection/persistence candidates (§3c–d), identifying the sources</w:t>
      </w:r>
      <w:r>
        <w:t xml:space="preserve"> </w:t>
      </w:r>
      <w:r>
        <w:t xml:space="preserve">of extended-range predictability.</w:t>
      </w:r>
    </w:p>
    <w:p>
      <w:pPr>
        <w:pStyle w:val="Compact"/>
        <w:numPr>
          <w:numId w:val="1001"/>
          <w:ilvl w:val="0"/>
        </w:numPr>
      </w:pPr>
      <w:r>
        <w:t xml:space="preserve">Two</w:t>
      </w:r>
      <w:r>
        <w:t xml:space="preserve"> </w:t>
      </w:r>
      <w:r>
        <w:rPr>
          <w:b/>
        </w:rPr>
        <w:t xml:space="preserve">ensemble</w:t>
      </w:r>
      <w:r>
        <w:t xml:space="preserve"> </w:t>
      </w:r>
      <w:r>
        <w:t xml:space="preserve">constructions—a leakage-safe stacked ensemble and a transparent 23-member vote</w:t>
      </w:r>
      <w:r>
        <w:t xml:space="preserve"> </w:t>
      </w:r>
      <w:r>
        <w:t xml:space="preserve">ensemble—with an explicit ensemble-vs-best-single-member analysis that places the neural members on</w:t>
      </w:r>
      <w:r>
        <w:t xml:space="preserve"> </w:t>
      </w:r>
      <w:r>
        <w:t xml:space="preserve">a common footing (§3g, §4g–h).</w:t>
      </w:r>
    </w:p>
    <w:p>
      <w:pPr>
        <w:pStyle w:val="Compact"/>
        <w:numPr>
          <w:numId w:val="1001"/>
          <w:ilvl w:val="0"/>
        </w:numPr>
      </w:pPr>
      <w:r>
        <w:t xml:space="preserve">A</w:t>
      </w:r>
      <w:r>
        <w:t xml:space="preserve"> </w:t>
      </w:r>
      <w:r>
        <w:rPr>
          <w:b/>
        </w:rPr>
        <w:t xml:space="preserve">region×week event</w:t>
      </w:r>
      <w:r>
        <w:t xml:space="preserve"> </w:t>
      </w:r>
      <w:r>
        <w:t xml:space="preserve">product and a</w:t>
      </w:r>
      <w:r>
        <w:t xml:space="preserve"> </w:t>
      </w:r>
      <w:r>
        <w:rPr>
          <w:b/>
        </w:rPr>
        <w:t xml:space="preserve">secondary heat-wave</w:t>
      </w:r>
      <w:r>
        <w:t xml:space="preserve"> </w:t>
      </w:r>
      <w:r>
        <w:t xml:space="preserve">product (§4h–i), and a controlled</w:t>
      </w:r>
      <w:r>
        <w:t xml:space="preserve"> </w:t>
      </w:r>
      <w:r>
        <w:rPr>
          <w:b/>
        </w:rPr>
        <w:t xml:space="preserve">negative result</w:t>
      </w:r>
      <w:r>
        <w:t xml:space="preserve"> </w:t>
      </w:r>
      <w:r>
        <w:t xml:space="preserve">on true spatial deep learning (§4k).</w:t>
      </w:r>
    </w:p>
    <w:p>
      <w:pPr>
        <w:pStyle w:val="Compact"/>
        <w:numPr>
          <w:numId w:val="1001"/>
          <w:ilvl w:val="0"/>
        </w:numPr>
      </w:pPr>
      <w:r>
        <w:t xml:space="preserve">An</w:t>
      </w:r>
      <w:r>
        <w:t xml:space="preserve"> </w:t>
      </w:r>
      <w:r>
        <w:rPr>
          <w:b/>
        </w:rPr>
        <w:t xml:space="preserve">operational</w:t>
      </w:r>
      <w:r>
        <w:t xml:space="preserve"> </w:t>
      </w:r>
      <w:r>
        <w:t xml:space="preserve">CF-compliant deliverable, an</w:t>
      </w:r>
      <w:r>
        <w:t xml:space="preserve"> </w:t>
      </w:r>
      <w:r>
        <w:rPr>
          <w:b/>
        </w:rPr>
        <w:t xml:space="preserve">independent numerical re-derivation</w:t>
      </w:r>
      <w:r>
        <w:t xml:space="preserve"> </w:t>
      </w:r>
      <w:r>
        <w:t xml:space="preserve">of the</w:t>
      </w:r>
      <w:r>
        <w:t xml:space="preserve"> </w:t>
      </w:r>
      <w:r>
        <w:t xml:space="preserve">headline scores, and a fully reproducible, leakage-audited pipeline (§3h, §5, Data and code</w:t>
      </w:r>
      <w:r>
        <w:t xml:space="preserve"> </w:t>
      </w:r>
      <w:r>
        <w:t xml:space="preserve">availability).</w:t>
      </w:r>
    </w:p>
    <w:p>
      <w:pPr>
        <w:pStyle w:val="FirstParagraph"/>
      </w:pPr>
      <w:r>
        <w:t xml:space="preserve">Section 2 describes the data; section 3 the indices, predictands, predictors, models, calibration,</w:t>
      </w:r>
      <w:r>
        <w:t xml:space="preserve"> </w:t>
      </w:r>
      <w:r>
        <w:t xml:space="preserve">cross-validation, and verification; section 4 the results; section 5 discusses them; section 6</w:t>
      </w:r>
      <w:r>
        <w:t xml:space="preserve"> </w:t>
      </w:r>
      <w:r>
        <w:t xml:space="preserve">concludes.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data"/>
      <w:bookmarkEnd w:id="29"/>
      <w:r>
        <w:t xml:space="preserve">2. Data</w:t>
      </w:r>
    </w:p>
    <w:p>
      <w:pPr>
        <w:pStyle w:val="Heading3"/>
      </w:pPr>
      <w:bookmarkStart w:id="30" w:name="a.-s2s-reforecast-ecmwf-control-member-only"/>
      <w:bookmarkEnd w:id="30"/>
      <w:r>
        <w:t xml:space="preserve">a. S2S reforecast (ECMWF, control member only)</w:t>
      </w:r>
    </w:p>
    <w:p>
      <w:pPr>
        <w:pStyle w:val="FirstParagraph"/>
      </w:pPr>
      <w:r>
        <w:t xml:space="preserve">We use the ECMWF S2S reforecast for 2003–2022 (20 yr), with</w:t>
      </w:r>
      <w:r>
        <w:t xml:space="preserve"> </w:t>
      </w:r>
      <w:r>
        <w:rPr>
          <w:b/>
        </w:rPr>
        <w:t xml:space="preserve">104 initialisations per year</w:t>
      </w:r>
      <w:r>
        <w:t xml:space="preserve"> </w:t>
      </w:r>
      <w:r>
        <w:t xml:space="preserve">on</w:t>
      </w:r>
      <w:r>
        <w:t xml:space="preserve"> </w:t>
      </w:r>
      <w:r>
        <w:t xml:space="preserve">Thursdays and Sundays (2 080 initialisations in total). Only the</w:t>
      </w:r>
      <w:r>
        <w:t xml:space="preserve"> </w:t>
      </w:r>
      <w:r>
        <w:rPr>
          <w:b/>
        </w:rPr>
        <w:t xml:space="preserve">control forecast</w:t>
      </w:r>
      <w:r>
        <w:t xml:space="preserve"> </w:t>
      </w:r>
      <w:r>
        <w:t xml:space="preserve">is archived—no</w:t>
      </w:r>
      <w:r>
        <w:t xml:space="preserve"> </w:t>
      </w:r>
      <w:r>
        <w:t xml:space="preserve">perturbed members exist—which, as emphasised above, is the single most consequential fact for the</w:t>
      </w:r>
      <w:r>
        <w:t xml:space="preserve"> </w:t>
      </w:r>
      <w:r>
        <w:t xml:space="preserve">method (§3e). Forecast daily maximum temperature is derived from the 6-hourly maximum-temperature field</w:t>
      </w:r>
      <w:r>
        <w:t xml:space="preserve"> </w:t>
      </w:r>
      <w:r>
        <w:rPr>
          <w:rStyle w:val="VerbatimChar"/>
        </w:rPr>
        <w:t xml:space="preserve">mx2t6</w:t>
      </w:r>
      <w:r>
        <w:t xml:space="preserve"> </w:t>
      </w:r>
      <w:r>
        <w:t xml:space="preserve">as the daily maximum of its four 6-hourly values; the 46-step horizon (184 × 6 h) yields lead</w:t>
      </w:r>
      <w:r>
        <w:t xml:space="preserve"> </w:t>
      </w:r>
      <w:r>
        <w:t xml:space="preserve">days 0–45, where day 0 is the first 24 h after initialisation. The reforecast is delivered already</w:t>
      </w:r>
      <w:r>
        <w:t xml:space="preserve"> </w:t>
      </w:r>
      <w:r>
        <w:t xml:space="preserve">bilinearly interpolated to the 0.25° observation grid (longitude 101–111 °E, 41 points; latitude</w:t>
      </w:r>
      <w:r>
        <w:t xml:space="preserve"> </w:t>
      </w:r>
      <w:r>
        <w:t xml:space="preserve">8–24 °N, 65 points), so</w:t>
      </w:r>
      <w:r>
        <w:t xml:space="preserve"> </w:t>
      </w:r>
      <w:r>
        <w:rPr>
          <w:b/>
        </w:rPr>
        <w:t xml:space="preserve">no downscaling stage is applied</w:t>
      </w:r>
      <w:r>
        <w:t xml:space="preserve"> </w:t>
      </w:r>
      <w:r>
        <w:t xml:space="preserve">and the upstream interpolation is treated</w:t>
      </w:r>
      <w:r>
        <w:t xml:space="preserve"> </w:t>
      </w:r>
      <w:r>
        <w:t xml:space="preserve">as a documented limitation (§5). Additional control fields used for the predictor extension (§2d) are</w:t>
      </w:r>
      <w:r>
        <w:t xml:space="preserve"> </w:t>
      </w:r>
      <w:r>
        <w:t xml:space="preserve">500-hPa geopotential, 850-hPa temperature, and surface/pressure-level moisture and wind, all on the</w:t>
      </w:r>
      <w:r>
        <w:t xml:space="preserve"> </w:t>
      </w:r>
      <w:r>
        <w:t xml:space="preserve">same reforecast stream. Because the reforecast follows a</w:t>
      </w:r>
      <w:r>
        <w:t xml:space="preserve"> </w:t>
      </w:r>
      <w:r>
        <w:rPr>
          <w:rStyle w:val="VerbatimChar"/>
        </w:rPr>
        <w:t xml:space="preserve">365_day</w:t>
      </w:r>
      <w:r>
        <w:t xml:space="preserve"> </w:t>
      </w:r>
      <w:r>
        <w:t xml:space="preserve">calendar with 29 February removed,</w:t>
      </w:r>
      <w:r>
        <w:t xml:space="preserve"> </w:t>
      </w:r>
      <w:r>
        <w:t xml:space="preserve">forecast-derived Tx is matched to observations on (month, day).</w:t>
      </w:r>
    </w:p>
    <w:p>
      <w:pPr>
        <w:pStyle w:val="Heading3"/>
      </w:pPr>
      <w:bookmarkStart w:id="31" w:name="b.-observations-gridded-target-and-station-validation"/>
      <w:bookmarkEnd w:id="31"/>
      <w:r>
        <w:t xml:space="preserve">b. Observations: gridded target and station validation</w:t>
      </w:r>
    </w:p>
    <w:p>
      <w:pPr>
        <w:pStyle w:val="FirstParagraph"/>
      </w:pPr>
      <w:r>
        <w:t xml:space="preserve">The calibration and verification</w:t>
      </w:r>
      <w:r>
        <w:t xml:space="preserve"> </w:t>
      </w:r>
      <w:r>
        <w:rPr>
          <w:b/>
        </w:rPr>
        <w:t xml:space="preserve">target</w:t>
      </w:r>
      <w:r>
        <w:t xml:space="preserve"> </w:t>
      </w:r>
      <w:r>
        <w:t xml:space="preserve">is the gridded observed daily</w:t>
      </w:r>
      <w:r>
        <w:t xml:space="preserve"> </w:t>
      </w:r>
      <w:r>
        <w:rPr>
          <w:rStyle w:val="VerbatimChar"/>
        </w:rPr>
        <w:t xml:space="preserve">Tx</w:t>
      </w:r>
      <w:r>
        <w:t xml:space="preserve"> </w:t>
      </w:r>
      <w:r>
        <w:t xml:space="preserve">on the identical 0.25°</w:t>
      </w:r>
      <w:r>
        <w:t xml:space="preserve"> </w:t>
      </w:r>
      <w:r>
        <w:t xml:space="preserve">grid (541 land cells), on a</w:t>
      </w:r>
      <w:r>
        <w:t xml:space="preserve"> </w:t>
      </w:r>
      <w:r>
        <w:rPr>
          <w:rStyle w:val="VerbatimChar"/>
        </w:rPr>
        <w:t xml:space="preserve">365_day</w:t>
      </w:r>
      <w:r>
        <w:t xml:space="preserve"> </w:t>
      </w:r>
      <w:r>
        <w:t xml:space="preserve">calendar, covering 2002–2023, from which the climatology and the</w:t>
      </w:r>
      <w:r>
        <w:t xml:space="preserve"> </w:t>
      </w:r>
      <w:r>
        <w:rPr>
          <w:rStyle w:val="VerbatimChar"/>
        </w:rPr>
        <w:t xml:space="preserve">Tx90p</w:t>
      </w:r>
      <w:r>
        <w:t xml:space="preserve"> </w:t>
      </w:r>
      <w:r>
        <w:t xml:space="preserve">threshold are constructed per fold (§3a). As an</w:t>
      </w:r>
      <w:r>
        <w:t xml:space="preserve"> </w:t>
      </w:r>
      <w:r>
        <w:rPr>
          <w:b/>
        </w:rPr>
        <w:t xml:space="preserve">independent point-scale check</w:t>
      </w:r>
      <w:r>
        <w:t xml:space="preserve"> </w:t>
      </w:r>
      <w:r>
        <w:t xml:space="preserve">we use 200</w:t>
      </w:r>
      <w:r>
        <w:t xml:space="preserve"> </w:t>
      </w:r>
      <w:r>
        <w:t xml:space="preserve">station daily-</w:t>
      </w:r>
      <w:r>
        <w:rPr>
          <w:rStyle w:val="VerbatimChar"/>
        </w:rPr>
        <w:t xml:space="preserve">Tx</w:t>
      </w:r>
      <w:r>
        <w:t xml:space="preserve"> </w:t>
      </w:r>
      <w:r>
        <w:t xml:space="preserve">records; 189 stations have usable overlap with the gridded field on common days.</w:t>
      </w:r>
      <w:r>
        <w:t xml:space="preserve"> </w:t>
      </w:r>
      <w:r>
        <w:t xml:space="preserve">Reconciling the two reveals a systematic</w:t>
      </w:r>
      <w:r>
        <w:t xml:space="preserve"> </w:t>
      </w:r>
      <w:r>
        <w:rPr>
          <w:b/>
        </w:rPr>
        <w:t xml:space="preserve">warm offset</w:t>
      </w:r>
      <w:r>
        <w:t xml:space="preserve">: stations read on average +1.5 to +2.2 °C</w:t>
      </w:r>
      <w:r>
        <w:t xml:space="preserve"> </w:t>
      </w:r>
      <w:r>
        <w:t xml:space="preserve">warmer than their enclosing 0.25° cell in every region, with high day-to-day correlation (0.83–0.98),</w:t>
      </w:r>
      <w:r>
        <w:t xml:space="preserve"> </w:t>
      </w:r>
      <w:r>
        <w:t xml:space="preserve">i.e. a representativeness/offset gap rather than a timing error. Because the EHD threshold is derived</w:t>
      </w:r>
      <w:r>
        <w:t xml:space="preserve"> </w:t>
      </w:r>
      <w:r>
        <w:t xml:space="preserve">from the cooler gridded field, station EHD frequency (0.31–0.59) runs 2–5× the gridded frequency</w:t>
      </w:r>
      <w:r>
        <w:t xml:space="preserve"> </w:t>
      </w:r>
      <w:r>
        <w:t xml:space="preserve">(≈0.10). We therefore</w:t>
      </w:r>
      <w:r>
        <w:t xml:space="preserve"> </w:t>
      </w:r>
      <w:r>
        <w:rPr>
          <w:b/>
        </w:rPr>
        <w:t xml:space="preserve">fit and verify the product entirely in the gridded world</w:t>
      </w:r>
      <w:r>
        <w:t xml:space="preserve"> </w:t>
      </w:r>
      <w:r>
        <w:t xml:space="preserve">and use the station</w:t>
      </w:r>
      <w:r>
        <w:t xml:space="preserve"> </w:t>
      </w:r>
      <w:r>
        <w:t xml:space="preserve">comparison only to bound how far point-scale risk may exceed the gridded product (§5). Table 1</w:t>
      </w:r>
      <w:r>
        <w:t xml:space="preserve"> </w:t>
      </w:r>
      <w:r>
        <w:t xml:space="preserve">summarises the data streams.</w:t>
      </w:r>
    </w:p>
    <w:p>
      <w:pPr>
        <w:pStyle w:val="BodyText"/>
      </w:pPr>
      <w:r>
        <w:rPr>
          <w:b/>
        </w:rPr>
        <w:t xml:space="preserve">Table 1.</w:t>
      </w:r>
      <w:r>
        <w:t xml:space="preserve"> </w:t>
      </w:r>
      <w:r>
        <w:t xml:space="preserve">Principal data streams.</w:t>
      </w:r>
    </w:p>
    <w:tbl>
      <w:tblPr>
        <w:tblStyle w:val="TableNormal"/>
        <w:tblW w:type="pct" w:w="4375.0"/>
        <w:tblLook w:firstRow="1"/>
      </w:tblPr>
      <w:tblGrid>
        <w:gridCol w:w="990"/>
        <w:gridCol w:w="2200"/>
        <w:gridCol w:w="1980"/>
        <w:gridCol w:w="990"/>
        <w:gridCol w:w="77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Stream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Source / variable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Grid / calendar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Reforecast Tx</w:t>
            </w:r>
          </w:p>
        </w:tc>
        <w:tc>
          <w:p>
            <w:pPr>
              <w:pStyle w:val="Compact"/>
              <w:jc w:val="left"/>
            </w:pPr>
            <w:r>
              <w:t xml:space="preserve">ECMWF S2S control</w:t>
            </w:r>
            <w:r>
              <w:t xml:space="preserve"> </w:t>
            </w:r>
            <w:r>
              <w:rPr>
                <w:rStyle w:val="VerbatimChar"/>
              </w:rPr>
              <w:t xml:space="preserve">mx2t6</w:t>
            </w:r>
            <w:r>
              <w:t xml:space="preserve"> </w:t>
            </w:r>
            <w:r>
              <w:t xml:space="preserve">→ daily Tx</w:t>
            </w:r>
          </w:p>
        </w:tc>
        <w:tc>
          <w:p>
            <w:pPr>
              <w:pStyle w:val="Compact"/>
              <w:jc w:val="left"/>
            </w:pPr>
            <w:r>
              <w:t xml:space="preserve">0.25°, 41×65; 365-day</w:t>
            </w:r>
          </w:p>
        </w:tc>
        <w:tc>
          <w:p>
            <w:pPr>
              <w:pStyle w:val="Compact"/>
              <w:jc w:val="left"/>
            </w:pPr>
            <w:r>
              <w:t xml:space="preserve">2003–2022, 104 inits yr⁻¹</w:t>
            </w:r>
          </w:p>
        </w:tc>
        <w:tc>
          <w:p>
            <w:pPr>
              <w:pStyle w:val="Compact"/>
              <w:jc w:val="left"/>
            </w:pPr>
            <w:r>
              <w:t xml:space="preserve">Forecast predictor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Reforecast fields</w:t>
            </w:r>
          </w:p>
        </w:tc>
        <w:tc>
          <w:p>
            <w:pPr>
              <w:pStyle w:val="Compact"/>
              <w:jc w:val="left"/>
            </w:pPr>
            <w:r>
              <w:t xml:space="preserve">Z500, T850, surface &amp; p-level moisture/wind (control)</w:t>
            </w:r>
          </w:p>
        </w:tc>
        <w:tc>
          <w:p>
            <w:pPr>
              <w:pStyle w:val="Compact"/>
              <w:jc w:val="left"/>
            </w:pPr>
            <w:r>
              <w:t xml:space="preserve">0.25° (VN) + 1.0° (extended)</w:t>
            </w:r>
          </w:p>
        </w:tc>
        <w:tc>
          <w:p>
            <w:pPr>
              <w:pStyle w:val="Compact"/>
              <w:jc w:val="left"/>
            </w:pPr>
            <w:r>
              <w:t xml:space="preserve">2003–2022</w:t>
            </w:r>
          </w:p>
        </w:tc>
        <w:tc>
          <w:p>
            <w:pPr>
              <w:pStyle w:val="Compact"/>
              <w:jc w:val="left"/>
            </w:pPr>
            <w:r>
              <w:t xml:space="preserve">Extended predictors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Gridded obs Tx</w:t>
            </w:r>
          </w:p>
        </w:tc>
        <w:tc>
          <w:p>
            <w:pPr>
              <w:pStyle w:val="Compact"/>
              <w:jc w:val="left"/>
            </w:pPr>
            <w:r>
              <w:t xml:space="preserve">Analysed</w:t>
            </w:r>
            <w:r>
              <w:t xml:space="preserve"> </w:t>
            </w:r>
            <w:r>
              <w:rPr>
                <w:rStyle w:val="VerbatimChar"/>
              </w:rPr>
              <w:t xml:space="preserve">tasmax</w:t>
            </w:r>
          </w:p>
        </w:tc>
        <w:tc>
          <w:p>
            <w:pPr>
              <w:pStyle w:val="Compact"/>
              <w:jc w:val="left"/>
            </w:pPr>
            <w:r>
              <w:t xml:space="preserve">0.25°, 541 land cells; 365-day</w:t>
            </w:r>
          </w:p>
        </w:tc>
        <w:tc>
          <w:p>
            <w:pPr>
              <w:pStyle w:val="Compact"/>
              <w:jc w:val="left"/>
            </w:pPr>
            <w:r>
              <w:t xml:space="preserve">2002–2023</w:t>
            </w:r>
          </w:p>
        </w:tc>
        <w:tc>
          <w:p>
            <w:pPr>
              <w:pStyle w:val="Compact"/>
              <w:jc w:val="left"/>
            </w:pPr>
            <w:r>
              <w:t xml:space="preserve">Target + climatology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Station obs Tx</w:t>
            </w:r>
          </w:p>
        </w:tc>
        <w:tc>
          <w:p>
            <w:pPr>
              <w:pStyle w:val="Compact"/>
              <w:jc w:val="left"/>
            </w:pPr>
            <w:r>
              <w:t xml:space="preserve">200 station daily Tx (189 usable)</w:t>
            </w:r>
          </w:p>
        </w:tc>
        <w:tc>
          <w:p>
            <w:pPr>
              <w:pStyle w:val="Compact"/>
              <w:jc w:val="left"/>
            </w:pPr>
            <w:r>
              <w:t xml:space="preserve">Point; daily</w:t>
            </w:r>
          </w:p>
        </w:tc>
        <w:tc>
          <w:p>
            <w:pPr>
              <w:pStyle w:val="Compact"/>
              <w:jc w:val="left"/>
            </w:pPr>
            <w:r>
              <w:t xml:space="preserve">overlap</w:t>
            </w:r>
          </w:p>
        </w:tc>
        <w:tc>
          <w:p>
            <w:pPr>
              <w:pStyle w:val="Compact"/>
              <w:jc w:val="left"/>
            </w:pPr>
            <w:r>
              <w:t xml:space="preserve">Independent validation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Region mask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  <w:r>
              <w:t xml:space="preserve"> </w:t>
            </w:r>
            <w:r>
              <w:rPr>
                <w:rStyle w:val="VerbatimChar"/>
              </w:rPr>
              <w:t xml:space="preserve">reg</w:t>
            </w:r>
            <w:r>
              <w:t xml:space="preserve"> </w:t>
            </w:r>
            <w:r>
              <w:t xml:space="preserve">mask (ids 1–7)</w:t>
            </w:r>
          </w:p>
        </w:tc>
        <w:tc>
          <w:p>
            <w:pPr>
              <w:pStyle w:val="Compact"/>
              <w:jc w:val="left"/>
            </w:pPr>
            <w:r>
              <w:t xml:space="preserve">0.25°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Stratification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Teleconnections</w:t>
            </w:r>
          </w:p>
        </w:tc>
        <w:tc>
          <w:p>
            <w:pPr>
              <w:pStyle w:val="Compact"/>
              <w:jc w:val="left"/>
            </w:pPr>
            <w:r>
              <w:t xml:space="preserve">ENSO Niño-3.4; MJO OMI (PC1, PC2, amplitude)</w:t>
            </w:r>
          </w:p>
        </w:tc>
        <w:tc>
          <w:p>
            <w:pPr>
              <w:pStyle w:val="Compact"/>
              <w:jc w:val="left"/>
            </w:pPr>
            <w:r>
              <w:t xml:space="preserve">Monthly / daily indices</w:t>
            </w:r>
          </w:p>
        </w:tc>
        <w:tc>
          <w:p>
            <w:pPr>
              <w:pStyle w:val="Compact"/>
              <w:jc w:val="left"/>
            </w:pPr>
            <w:r>
              <w:t xml:space="preserve">2003–2022</w:t>
            </w:r>
          </w:p>
        </w:tc>
        <w:tc>
          <w:p>
            <w:pPr>
              <w:pStyle w:val="Compact"/>
              <w:jc w:val="left"/>
            </w:pPr>
            <w:r>
              <w:t xml:space="preserve">Extended predictors</w:t>
            </w:r>
          </w:p>
        </w:tc>
      </w:tr>
    </w:tbl>
    <w:p>
      <w:pPr>
        <w:pStyle w:val="Heading3"/>
      </w:pPr>
      <w:bookmarkStart w:id="32" w:name="c.-regions"/>
      <w:bookmarkEnd w:id="32"/>
      <w:r>
        <w:t xml:space="preserve">c. Regions</w:t>
      </w:r>
    </w:p>
    <w:p>
      <w:pPr>
        <w:pStyle w:val="FirstParagraph"/>
      </w:pPr>
      <w:r>
        <w:t xml:space="preserve">Seven regions are defined by the gridded integer</w:t>
      </w:r>
      <w:r>
        <w:t xml:space="preserve"> </w:t>
      </w:r>
      <w:r>
        <w:rPr>
          <w:rStyle w:val="VerbatimChar"/>
        </w:rPr>
        <w:t xml:space="preserve">reg</w:t>
      </w:r>
      <w:r>
        <w:t xml:space="preserve"> </w:t>
      </w:r>
      <w:r>
        <w:t xml:space="preserve">mask (ids 1–7): R1 Tây Bắc (Northwest), R2 Đông</w:t>
      </w:r>
      <w:r>
        <w:t xml:space="preserve"> </w:t>
      </w:r>
      <w:r>
        <w:t xml:space="preserve">Bắc (Northeast), R3 Đồng bằng Bắc Bộ (Red River Delta), R4 Bắc Trung Bộ (North Central), R5 Nam Trung</w:t>
      </w:r>
      <w:r>
        <w:t xml:space="preserve"> </w:t>
      </w:r>
      <w:r>
        <w:t xml:space="preserve">Bộ (South Central), R6 Tây Nguyên (Central Highlands), and R7 Nam Bộ (South). Region membership and</w:t>
      </w:r>
      <w:r>
        <w:t xml:space="preserve"> </w:t>
      </w:r>
      <w:r>
        <w:t xml:space="preserve">extents are taken from the gridded mask; the administrative shapefile is used only for the publication</w:t>
      </w:r>
      <w:r>
        <w:t xml:space="preserve"> </w:t>
      </w:r>
      <w:r>
        <w:t xml:space="preserve">map. All regional statistics are computed as zonal aggregates over the gridded mask (no vector</w:t>
      </w:r>
      <w:r>
        <w:t xml:space="preserve"> </w:t>
      </w:r>
      <w:r>
        <w:t xml:space="preserve">overlay), so they are internally consistent with the gridded target.</w:t>
      </w:r>
    </w:p>
    <w:p>
      <w:pPr>
        <w:pStyle w:val="Heading3"/>
      </w:pPr>
      <w:bookmarkStart w:id="33" w:name="d.-auxiliary-predictor-fields"/>
      <w:bookmarkEnd w:id="33"/>
      <w:r>
        <w:t xml:space="preserve">d. Auxiliary predictor fields</w:t>
      </w:r>
    </w:p>
    <w:p>
      <w:pPr>
        <w:pStyle w:val="FirstParagraph"/>
      </w:pPr>
      <w:r>
        <w:t xml:space="preserve">For the predictor extension (§3c) we assemble, from the same control reforecast and from observed</w:t>
      </w:r>
      <w:r>
        <w:t xml:space="preserve"> </w:t>
      </w:r>
      <w:r>
        <w:t xml:space="preserve">teleconnection indices, four physically distinct groups: (i)</w:t>
      </w:r>
      <w:r>
        <w:t xml:space="preserve"> </w:t>
      </w:r>
      <w:r>
        <w:rPr>
          <w:b/>
        </w:rPr>
        <w:t xml:space="preserve">land-surface</w:t>
      </w:r>
      <w:r>
        <w:t xml:space="preserve"> </w:t>
      </w:r>
      <w:r>
        <w:t xml:space="preserve">state—soil moisture at</w:t>
      </w:r>
      <w:r>
        <w:t xml:space="preserve"> </w:t>
      </w:r>
      <w:r>
        <w:t xml:space="preserve">20 and 100 cm and deep soil temperature; (ii)</w:t>
      </w:r>
      <w:r>
        <w:t xml:space="preserve"> </w:t>
      </w:r>
      <w:r>
        <w:rPr>
          <w:b/>
        </w:rPr>
        <w:t xml:space="preserve">local thermodynamics</w:t>
      </w:r>
      <w:r>
        <w:t xml:space="preserve">—skin temperature, CAPE, total</w:t>
      </w:r>
      <w:r>
        <w:t xml:space="preserve"> </w:t>
      </w:r>
      <w:r>
        <w:t xml:space="preserve">column water, cloud cover, and dewpoint; (iii)</w:t>
      </w:r>
      <w:r>
        <w:t xml:space="preserve"> </w:t>
      </w:r>
      <w:r>
        <w:rPr>
          <w:b/>
        </w:rPr>
        <w:t xml:space="preserve">large-scale circulation</w:t>
      </w:r>
      <w:r>
        <w:t xml:space="preserve">—500-hPa geopotential over a</w:t>
      </w:r>
      <w:r>
        <w:t xml:space="preserve"> </w:t>
      </w:r>
      <w:r>
        <w:t xml:space="preserve">Vietnam/South-China-Sea box, over a subtropical box, and their gradient, together with box-mean 850-hPa</w:t>
      </w:r>
      <w:r>
        <w:t xml:space="preserve"> </w:t>
      </w:r>
      <w:r>
        <w:t xml:space="preserve">temperature; and (iv)</w:t>
      </w:r>
      <w:r>
        <w:t xml:space="preserve"> </w:t>
      </w:r>
      <w:r>
        <w:rPr>
          <w:b/>
        </w:rPr>
        <w:t xml:space="preserve">teleconnection/persistence</w:t>
      </w:r>
      <w:r>
        <w:t xml:space="preserve">—ENSO Niño-3.4 for the initialisation month, the</w:t>
      </w:r>
      <w:r>
        <w:t xml:space="preserve"> </w:t>
      </w:r>
      <w:r>
        <w:t xml:space="preserve">MJO OMI components (PC1, PC2) and amplitude at initialisation, and antecedent 15-day observed EHD</w:t>
      </w:r>
      <w:r>
        <w:t xml:space="preserve"> </w:t>
      </w:r>
      <w:r>
        <w:t xml:space="preserve">frequency and mean severity. A comprehensive gridded</w:t>
      </w:r>
      <w:r>
        <w:t xml:space="preserve"> </w:t>
      </w:r>
      <w:r>
        <w:rPr>
          <w:b/>
        </w:rPr>
        <w:t xml:space="preserve">full-field cache</w:t>
      </w:r>
      <w:r>
        <w:t xml:space="preserve"> </w:t>
      </w:r>
      <w:r>
        <w:t xml:space="preserve">(55 channels on an extended</w:t>
      </w:r>
      <w:r>
        <w:t xml:space="preserve"> </w:t>
      </w:r>
      <w:r>
        <w:t xml:space="preserve">1.0° domain and the native 0.25° grid; §3e, §4k) is additionally built for the true-spatial</w:t>
      </w:r>
      <w:r>
        <w:t xml:space="preserve"> </w:t>
      </w:r>
      <w:r>
        <w:t xml:space="preserve">deep-learning experiment. All predictor construction is leakage-safe by design (§3c).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methods"/>
      <w:bookmarkEnd w:id="34"/>
      <w:r>
        <w:t xml:space="preserve">3. Methods</w:t>
      </w:r>
    </w:p>
    <w:p>
      <w:pPr>
        <w:pStyle w:val="Heading3"/>
      </w:pPr>
      <w:bookmarkStart w:id="35" w:name="a.-extreme-heat-indices-and-the-family-of-predictands"/>
      <w:bookmarkEnd w:id="35"/>
      <w:r>
        <w:t xml:space="preserve">a. Extreme-heat indices and the family of predictands</w:t>
      </w:r>
    </w:p>
    <w:p>
      <w:pPr>
        <w:pStyle w:val="FirstParagraph"/>
      </w:pPr>
      <w:r>
        <w:rPr>
          <w:i/>
        </w:rPr>
        <w:t xml:space="preserve">Extreme-heat day (EHD).</w:t>
      </w:r>
      <w:r>
        <w:t xml:space="preserve"> </w:t>
      </w:r>
      <w:r>
        <w:t xml:space="preserve">A day at a grid cell is an</w:t>
      </w:r>
      <w:r>
        <w:t xml:space="preserve"> </w:t>
      </w:r>
      <w:r>
        <w:rPr>
          <w:b/>
        </w:rPr>
        <w:t xml:space="preserve">EHD</w:t>
      </w:r>
      <w:r>
        <w:t xml:space="preserve"> </w:t>
      </w:r>
      <w:r>
        <w:t xml:space="preserve">if and only if</w:t>
      </w:r>
    </w:p>
    <w:p>
      <w:pPr>
        <w:pStyle w:val="BlockText"/>
      </w:pPr>
      <w:r>
        <w:rPr>
          <w:rStyle w:val="VerbatimChar"/>
        </w:rPr>
        <w:t xml:space="preserve">Tx ≥ Thr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Thr = min(Tx90p, 35 °C)</w:t>
      </w:r>
      <w:r>
        <w:t xml:space="preserve">,</w:t>
      </w:r>
    </w:p>
    <w:p>
      <w:pPr>
        <w:pStyle w:val="FirstParagraph"/>
      </w:pPr>
      <w:r>
        <w:t xml:space="preserve">where</w:t>
      </w:r>
      <w:r>
        <w:t xml:space="preserve"> </w:t>
      </w:r>
      <w:r>
        <w:rPr>
          <w:rStyle w:val="VerbatimChar"/>
        </w:rPr>
        <w:t xml:space="preserve">Tx90p</w:t>
      </w:r>
      <w:r>
        <w:t xml:space="preserve"> </w:t>
      </w:r>
      <w:r>
        <w:t xml:space="preserve">is the calendar-day 90th percentile of observed daily</w:t>
      </w:r>
      <w:r>
        <w:t xml:space="preserve"> </w:t>
      </w:r>
      <w:r>
        <w:rPr>
          <w:rStyle w:val="VerbatimChar"/>
        </w:rPr>
        <w:t xml:space="preserve">Tx</w:t>
      </w:r>
      <w:r>
        <w:t xml:space="preserve"> </w:t>
      </w:r>
      <w:r>
        <w:t xml:space="preserve">over the 2002–2023 baseline,</w:t>
      </w:r>
      <w:r>
        <w:t xml:space="preserve"> </w:t>
      </w:r>
      <w:r>
        <w:t xml:space="preserve">estimated from a</w:t>
      </w:r>
      <w:r>
        <w:t xml:space="preserve"> </w:t>
      </w:r>
      <w:r>
        <w:rPr>
          <w:b/>
        </w:rPr>
        <w:t xml:space="preserve">centred 15-day calendar-day window</w:t>
      </w:r>
      <w:r>
        <w:t xml:space="preserve"> </w:t>
      </w:r>
      <w:r>
        <w:t xml:space="preserve">(±7 days) to stabilise the percentile against</w:t>
      </w:r>
      <w:r>
        <w:t xml:space="preserve"> </w:t>
      </w:r>
      <w:r>
        <w:t xml:space="preserve">sampling noise. The</w:t>
      </w:r>
      <w:r>
        <w:t xml:space="preserve"> </w:t>
      </w:r>
      <w:r>
        <w:rPr>
          <w:rStyle w:val="VerbatimChar"/>
        </w:rPr>
        <w:t xml:space="preserve">min(·)</w:t>
      </w:r>
      <w:r>
        <w:t xml:space="preserve"> </w:t>
      </w:r>
      <w:r>
        <w:t xml:space="preserve">rule is fixed by design and is a deliberate, physically-motivated choice:</w:t>
      </w:r>
      <w:r>
        <w:t xml:space="preserve"> </w:t>
      </w:r>
      <w:r>
        <w:t xml:space="preserve">it requires a day to be</w:t>
      </w:r>
      <w:r>
        <w:t xml:space="preserve"> </w:t>
      </w:r>
      <w:r>
        <w:rPr>
          <w:i/>
        </w:rPr>
        <w:t xml:space="preserve">both</w:t>
      </w:r>
      <w:r>
        <w:t xml:space="preserve"> </w:t>
      </w:r>
      <w:r>
        <w:t xml:space="preserve">locally unusual (at or above the local 90th percentile)</w:t>
      </w:r>
      <w:r>
        <w:t xml:space="preserve"> </w:t>
      </w:r>
      <w:r>
        <w:rPr>
          <w:i/>
        </w:rPr>
        <w:t xml:space="preserve">and</w:t>
      </w:r>
      <w:r>
        <w:t xml:space="preserve"> </w:t>
      </w:r>
      <w:r>
        <w:t xml:space="preserve">absolutely</w:t>
      </w:r>
      <w:r>
        <w:t xml:space="preserve"> </w:t>
      </w:r>
      <w:r>
        <w:t xml:space="preserve">hot (capped at 35 °C), which prevents cool highland cells from labelling a merely above-normal but mild</w:t>
      </w:r>
      <w:r>
        <w:t xml:space="preserve"> </w:t>
      </w:r>
      <w:r>
        <w:t xml:space="preserve">day as "extreme". The alternative</w:t>
      </w:r>
      <w:r>
        <w:t xml:space="preserve"> </w:t>
      </w:r>
      <w:r>
        <w:rPr>
          <w:rStyle w:val="VerbatimChar"/>
        </w:rPr>
        <w:t xml:space="preserve">max(Tx90p, 35 °C)</w:t>
      </w:r>
      <w:r>
        <w:t xml:space="preserve"> </w:t>
      </w:r>
      <w:r>
        <w:t xml:space="preserve">variant is computed only as a diagnostic and is</w:t>
      </w:r>
      <w:r>
        <w:t xml:space="preserve"> </w:t>
      </w:r>
      <w:r>
        <w:t xml:space="preserve">never substituted into the product. The percentile window is a</w:t>
      </w:r>
      <w:r>
        <w:t xml:space="preserve"> </w:t>
      </w:r>
      <w:r>
        <w:rPr>
          <w:i/>
        </w:rPr>
        <w:t xml:space="preserve">climatology-construction</w:t>
      </w:r>
      <w:r>
        <w:t xml:space="preserve"> </w:t>
      </w:r>
      <w:r>
        <w:t xml:space="preserve">device and is</w:t>
      </w:r>
      <w:r>
        <w:t xml:space="preserve"> </w:t>
      </w:r>
      <w:r>
        <w:t xml:space="preserve">kept conceptually and operationally distinct from any forecast time-aggregation window; it is fit</w:t>
      </w:r>
      <w:r>
        <w:t xml:space="preserve"> </w:t>
      </w:r>
      <w:r>
        <w:rPr>
          <w:b/>
        </w:rPr>
        <w:t xml:space="preserve">per</w:t>
      </w:r>
      <w:r>
        <w:rPr>
          <w:b/>
        </w:rPr>
        <w:t xml:space="preserve"> </w:t>
      </w:r>
      <w:r>
        <w:rPr>
          <w:b/>
        </w:rPr>
        <w:t xml:space="preserve">fold</w:t>
      </w:r>
      <w:r>
        <w:t xml:space="preserve"> </w:t>
      </w:r>
      <w:r>
        <w:t xml:space="preserve">so the held-out year never informs its own threshold (§3h).</w:t>
      </w:r>
    </w:p>
    <w:p>
      <w:pPr>
        <w:pStyle w:val="BodyText"/>
      </w:pPr>
      <w:r>
        <w:rPr>
          <w:i/>
        </w:rPr>
        <w:t xml:space="preserve">Extreme-heat-day event (EHDE) — the primary predictand.</w:t>
      </w:r>
      <w:r>
        <w:t xml:space="preserve"> </w:t>
      </w:r>
      <w:r>
        <w:t xml:space="preserve">Because the operational decision is made per</w:t>
      </w:r>
      <w:r>
        <w:t xml:space="preserve"> </w:t>
      </w:r>
      <w:r>
        <w:t xml:space="preserve">lead block, the forecast target is not the daily EHD but the block</w:t>
      </w:r>
      <w:r>
        <w:t xml:space="preserve"> </w:t>
      </w:r>
      <w:r>
        <w:rPr>
          <w:b/>
        </w:rPr>
        <w:t xml:space="preserve">event</w:t>
      </w:r>
    </w:p>
    <w:p>
      <w:pPr>
        <w:pStyle w:val="BlockText"/>
      </w:pPr>
      <w:r>
        <w:rPr>
          <w:rStyle w:val="VerbatimChar"/>
        </w:rPr>
        <w:t xml:space="preserve">EHDE = 1  ⇔  at least one EHD occurs within the block</w:t>
      </w:r>
      <w:r>
        <w:t xml:space="preserve">,</w:t>
      </w:r>
    </w:p>
    <w:p>
      <w:pPr>
        <w:pStyle w:val="FirstParagraph"/>
      </w:pPr>
      <w:r>
        <w:t xml:space="preserve">i.e.</w:t>
      </w:r>
      <w:r>
        <w:t xml:space="preserve"> </w:t>
      </w:r>
      <w:r>
        <w:rPr>
          <w:rStyle w:val="VerbatimChar"/>
        </w:rPr>
        <w:t xml:space="preserve">P(≥1 EHD in block)</w:t>
      </w:r>
      <w:r>
        <w:t xml:space="preserve">. EHDE is the primary predictand throughout; unless stated otherwise "the</w:t>
      </w:r>
      <w:r>
        <w:t xml:space="preserve"> </w:t>
      </w:r>
      <w:r>
        <w:t xml:space="preserve">product" refers to calibrated</w:t>
      </w:r>
      <w:r>
        <w:t xml:space="preserve"> </w:t>
      </w:r>
      <w:r>
        <w:rPr>
          <w:rStyle w:val="VerbatimChar"/>
        </w:rPr>
        <w:t xml:space="preserve">P(EHDE)</w:t>
      </w:r>
      <w:r>
        <w:t xml:space="preserve">. We adopt the ≥1-EHD definition (rather than a stricter</w:t>
      </w:r>
      <w:r>
        <w:t xml:space="preserve"> </w:t>
      </w:r>
      <w:r>
        <w:t xml:space="preserve">multi-day count) so that the event is neither too rare to verify nor trivially frequent, and so that</w:t>
      </w:r>
      <w:r>
        <w:t xml:space="preserve"> </w:t>
      </w:r>
      <w:r>
        <w:t xml:space="preserve">all model variants remain directly comparable.</w:t>
      </w:r>
    </w:p>
    <w:p>
      <w:pPr>
        <w:pStyle w:val="BodyText"/>
      </w:pPr>
      <w:r>
        <w:rPr>
          <w:i/>
        </w:rPr>
        <w:t xml:space="preserve">Severity (Sev) — a regression predictand.</w:t>
      </w:r>
      <w:r>
        <w:t xml:space="preserve"> </w:t>
      </w:r>
      <w:r>
        <w:t xml:space="preserve">As an alternative pathway we define a continuous</w:t>
      </w:r>
      <w:r>
        <w:t xml:space="preserve"> </w:t>
      </w:r>
      <w:r>
        <w:rPr>
          <w:b/>
        </w:rPr>
        <w:t xml:space="preserve">severity</w:t>
      </w:r>
      <w:r>
        <w:t xml:space="preserve"> </w:t>
      </w:r>
      <w:r>
        <w:t xml:space="preserve">at the block scale,</w:t>
      </w:r>
    </w:p>
    <w:p>
      <w:pPr>
        <w:pStyle w:val="BlockText"/>
      </w:pPr>
      <w:r>
        <w:rPr>
          <w:rStyle w:val="VerbatimChar"/>
        </w:rPr>
        <w:t xml:space="preserve">Sev = max_{d ∈ block} ( Tx_obs,d − Thr_d )</w:t>
      </w:r>
      <w:r>
        <w:t xml:space="preserve">,</w:t>
      </w:r>
    </w:p>
    <w:p>
      <w:pPr>
        <w:pStyle w:val="FirstParagraph"/>
      </w:pPr>
      <w:r>
        <w:t xml:space="preserve">the block-maximum amount by which the hottest day clears its threshold. By construction</w:t>
      </w:r>
      <w:r>
        <w:t xml:space="preserve"> </w:t>
      </w:r>
      <w:r>
        <w:rPr>
          <w:rStyle w:val="VerbatimChar"/>
        </w:rPr>
        <w:t xml:space="preserve">Sev ≥ 0 ⇔ EHDE = 1</w:t>
      </w:r>
      <w:r>
        <w:t xml:space="preserve">, so a regression that predicts</w:t>
      </w:r>
      <w:r>
        <w:t xml:space="preserve"> </w:t>
      </w:r>
      <w:r>
        <w:rPr>
          <w:rStyle w:val="VerbatimChar"/>
        </w:rPr>
        <w:t xml:space="preserve">Sev</w:t>
      </w:r>
      <w:r>
        <w:t xml:space="preserve"> </w:t>
      </w:r>
      <w:r>
        <w:t xml:space="preserve">maps</w:t>
      </w:r>
      <w:r>
        <w:t xml:space="preserve"> </w:t>
      </w:r>
      <w:r>
        <w:rPr>
          <w:b/>
        </w:rPr>
        <w:t xml:space="preserve">monotonically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P(EHDE)</w:t>
      </w:r>
      <w:r>
        <w:t xml:space="preserve"> </w:t>
      </w:r>
      <w:r>
        <w:t xml:space="preserve">and additionally</w:t>
      </w:r>
      <w:r>
        <w:t xml:space="preserve"> </w:t>
      </w:r>
      <w:r>
        <w:t xml:space="preserve">carries a "how extreme" magnitude that pure classification discards. Predicted severity is converted to</w:t>
      </w:r>
      <w:r>
        <w:t xml:space="preserve"> </w:t>
      </w:r>
      <w:r>
        <w:t xml:space="preserve">a probability by an</w:t>
      </w:r>
      <w:r>
        <w:t xml:space="preserve"> </w:t>
      </w:r>
      <w:r>
        <w:rPr>
          <w:b/>
        </w:rPr>
        <w:t xml:space="preserve">isotonic link</w:t>
      </w:r>
      <w:r>
        <w:t xml:space="preserve"> </w:t>
      </w:r>
      <w:r>
        <w:t xml:space="preserve">fit on training data only (§3f). This lets us test whether</w:t>
      </w:r>
      <w:r>
        <w:t xml:space="preserve"> </w:t>
      </w:r>
      <w:r>
        <w:t xml:space="preserve">learning the ordered magnitude of heat is a better-posed problem than learning the binary event</w:t>
      </w:r>
      <w:r>
        <w:t xml:space="preserve"> </w:t>
      </w:r>
      <w:r>
        <w:t xml:space="preserve">directly (§4f).</w:t>
      </w:r>
    </w:p>
    <w:p>
      <w:pPr>
        <w:pStyle w:val="BodyText"/>
      </w:pPr>
      <w:r>
        <w:rPr>
          <w:i/>
        </w:rPr>
        <w:t xml:space="preserve">Heat-wave — a secondary predictand.</w:t>
      </w:r>
      <w:r>
        <w:t xml:space="preserve"> </w:t>
      </w:r>
      <w:r>
        <w:t xml:space="preserve">The</w:t>
      </w:r>
      <w:r>
        <w:t xml:space="preserve"> </w:t>
      </w:r>
      <w:r>
        <w:rPr>
          <w:b/>
        </w:rPr>
        <w:t xml:space="preserve">secondary</w:t>
      </w:r>
      <w:r>
        <w:t xml:space="preserve"> </w:t>
      </w:r>
      <w:r>
        <w:t xml:space="preserve">target is the heat-wave,</w:t>
      </w:r>
      <w:r>
        <w:t xml:space="preserve"> </w:t>
      </w:r>
      <w:r>
        <w:rPr>
          <w:rStyle w:val="VerbatimChar"/>
        </w:rPr>
        <w:t xml:space="preserve">P(≥3 consecutive EHDs)</w:t>
      </w:r>
      <w:r>
        <w:t xml:space="preserve">, detected on the continuous 0–45-day daily-EHD series and attributed to every block a qualifying</w:t>
      </w:r>
      <w:r>
        <w:t xml:space="preserve"> </w:t>
      </w:r>
      <w:r>
        <w:t xml:space="preserve">run overlaps, with an</w:t>
      </w:r>
      <w:r>
        <w:t xml:space="preserve"> </w:t>
      </w:r>
      <w:r>
        <w:rPr>
          <w:b/>
        </w:rPr>
        <w:t xml:space="preserve">explicit block-straddle rule</w:t>
      </w:r>
      <w:r>
        <w:t xml:space="preserve"> </w:t>
      </w:r>
      <w:r>
        <w:t xml:space="preserve">(a run spanning a block boundary is credited to</w:t>
      </w:r>
      <w:r>
        <w:t xml:space="preserve"> </w:t>
      </w:r>
      <w:r>
        <w:t xml:space="preserve">both blocks). It is rarer than EHDE (base rate 0.11–0.16 vs 0.33–0.43) and is verified under the same</w:t>
      </w:r>
      <w:r>
        <w:t xml:space="preserve"> </w:t>
      </w:r>
      <w:r>
        <w:t xml:space="preserve">protocol (§4i).</w:t>
      </w:r>
    </w:p>
    <w:p>
      <w:pPr>
        <w:pStyle w:val="Heading3"/>
      </w:pPr>
      <w:bookmarkStart w:id="36" w:name="b.-lead-blocks-and-verification-targets"/>
      <w:bookmarkEnd w:id="36"/>
      <w:r>
        <w:t xml:space="preserve">b. Lead blocks and verification targets</w:t>
      </w:r>
    </w:p>
    <w:p>
      <w:pPr>
        <w:pStyle w:val="FirstParagraph"/>
      </w:pPr>
      <w:r>
        <w:t xml:space="preserve">Forecasts are aggregated into</w:t>
      </w:r>
      <w:r>
        <w:t xml:space="preserve"> </w:t>
      </w:r>
      <w:r>
        <w:rPr>
          <w:b/>
        </w:rPr>
        <w:t xml:space="preserve">six fixed, non-overlapping lead blocks</w:t>
      </w:r>
      <w:r>
        <w:t xml:space="preserve"> </w:t>
      </w:r>
      <w:r>
        <w:t xml:space="preserve">(days since initialisation):</w:t>
      </w:r>
      <w:r>
        <w:t xml:space="preserve"> </w:t>
      </w:r>
      <w:r>
        <w:t xml:space="preserve">W1 0–10, W2 11–17, W3 18–24, W4 25–31, W5 32–38, W6 39–45.</w:t>
      </w:r>
      <w:r>
        <w:t xml:space="preserve"> </w:t>
      </w:r>
      <w:r>
        <w:rPr>
          <w:b/>
        </w:rPr>
        <w:t xml:space="preserve">No running or sliding windows</w:t>
      </w:r>
      <w:r>
        <w:t xml:space="preserve"> </w:t>
      </w:r>
      <w:r>
        <w:t xml:space="preserve">are used</w:t>
      </w:r>
      <w:r>
        <w:t xml:space="preserve"> </w:t>
      </w:r>
      <w:r>
        <w:t xml:space="preserve">anywhere in aggregation or verification; this is a hard design constraint that keeps the six blocks</w:t>
      </w:r>
      <w:r>
        <w:t xml:space="preserve"> </w:t>
      </w:r>
      <w:r>
        <w:t xml:space="preserve">statistically independent in lead and makes the verification protocol unambiguous. Every predictand in</w:t>
      </w:r>
      <w:r>
        <w:t xml:space="preserve"> </w:t>
      </w:r>
      <w:r>
        <w:t xml:space="preserve">§3a is defined and scored on these blocks.</w:t>
      </w:r>
    </w:p>
    <w:p>
      <w:pPr>
        <w:pStyle w:val="Heading3"/>
      </w:pPr>
      <w:bookmarkStart w:id="37" w:name="c.-predictor-construction-and-leakage-safety"/>
      <w:bookmarkEnd w:id="37"/>
      <w:r>
        <w:t xml:space="preserve">c. Predictor construction and leakage safety</w:t>
      </w:r>
    </w:p>
    <w:p>
      <w:pPr>
        <w:pStyle w:val="FirstParagraph"/>
      </w:pPr>
      <w:r>
        <w:t xml:space="preserve">For each initialisation × land cell × block, a</w:t>
      </w:r>
      <w:r>
        <w:t xml:space="preserve"> </w:t>
      </w:r>
      <w:r>
        <w:rPr>
          <w:b/>
        </w:rPr>
        <w:t xml:space="preserve">backbone</w:t>
      </w:r>
      <w:r>
        <w:t xml:space="preserve"> </w:t>
      </w:r>
      <w:r>
        <w:t xml:space="preserve">of ten forecast-only features is computed:</w:t>
      </w:r>
      <w:r>
        <w:t xml:space="preserve"> </w:t>
      </w:r>
      <w:r>
        <w:t xml:space="preserve">the block maximum, mean, and minimum of forecast daily</w:t>
      </w:r>
      <w:r>
        <w:t xml:space="preserve"> </w:t>
      </w:r>
      <w:r>
        <w:rPr>
          <w:rStyle w:val="VerbatimChar"/>
        </w:rPr>
        <w:t xml:space="preserve">Tx</w:t>
      </w:r>
      <w:r>
        <w:t xml:space="preserve"> </w:t>
      </w:r>
      <w:r>
        <w:t xml:space="preserve">(</w:t>
      </w:r>
      <w:r>
        <w:rPr>
          <w:rStyle w:val="VerbatimChar"/>
        </w:rPr>
        <w:t xml:space="preserve">f_max</w:t>
      </w:r>
      <w:r>
        <w:t xml:space="preserve">,</w:t>
      </w:r>
      <w:r>
        <w:t xml:space="preserve"> </w:t>
      </w:r>
      <w:r>
        <w:rPr>
          <w:rStyle w:val="VerbatimChar"/>
        </w:rPr>
        <w:t xml:space="preserve">f_mean</w:t>
      </w:r>
      <w:r>
        <w:t xml:space="preserve">,</w:t>
      </w:r>
      <w:r>
        <w:t xml:space="preserve"> </w:t>
      </w:r>
      <w:r>
        <w:rPr>
          <w:rStyle w:val="VerbatimChar"/>
        </w:rPr>
        <w:t xml:space="preserve">f_min</w:t>
      </w:r>
      <w:r>
        <w:t xml:space="preserve">); the fraction</w:t>
      </w:r>
      <w:r>
        <w:t xml:space="preserve"> </w:t>
      </w:r>
      <w:r>
        <w:t xml:space="preserve">of block days with forecast</w:t>
      </w:r>
      <w:r>
        <w:t xml:space="preserve"> </w:t>
      </w:r>
      <w:r>
        <w:rPr>
          <w:rStyle w:val="VerbatimChar"/>
        </w:rPr>
        <w:t xml:space="preserve">Tx ≥ Thr</w:t>
      </w:r>
      <w:r>
        <w:t xml:space="preserve"> </w:t>
      </w:r>
      <w:r>
        <w:t xml:space="preserve">(</w:t>
      </w:r>
      <w:r>
        <w:rPr>
          <w:rStyle w:val="VerbatimChar"/>
        </w:rPr>
        <w:t xml:space="preserve">f_exceed</w:t>
      </w:r>
      <w:r>
        <w:t xml:space="preserve">); the margin by which the hottest forecast day</w:t>
      </w:r>
      <w:r>
        <w:t xml:space="preserve"> </w:t>
      </w:r>
      <w:r>
        <w:t xml:space="preserve">clears the block-mean threshold (</w:t>
      </w:r>
      <w:r>
        <w:rPr>
          <w:rStyle w:val="VerbatimChar"/>
        </w:rPr>
        <w:t xml:space="preserve">f_maxanom</w:t>
      </w:r>
      <w:r>
        <w:t xml:space="preserve">); a block ordinal encoding lead dependence (</w:t>
      </w:r>
      <w:r>
        <w:rPr>
          <w:rStyle w:val="VerbatimChar"/>
        </w:rPr>
        <w:t xml:space="preserve">lead_id</w:t>
      </w:r>
      <w:r>
        <w:t xml:space="preserve">);</w:t>
      </w:r>
      <w:r>
        <w:t xml:space="preserve"> </w:t>
      </w:r>
      <w:r>
        <w:t xml:space="preserve">the initialisation-date seasonal harmonics</w:t>
      </w:r>
      <w:r>
        <w:t xml:space="preserve"> </w:t>
      </w:r>
      <w:r>
        <w:rPr>
          <w:rStyle w:val="VerbatimChar"/>
        </w:rPr>
        <w:t xml:space="preserve">sin/cos(2π·doy/365)</w:t>
      </w:r>
      <w:r>
        <w:t xml:space="preserve">; and grid latitude and longitude. In</w:t>
      </w:r>
      <w:r>
        <w:t xml:space="preserve"> </w:t>
      </w:r>
      <w:r>
        <w:t xml:space="preserve">the severity pathway the forecast severity</w:t>
      </w:r>
      <w:r>
        <w:t xml:space="preserve"> </w:t>
      </w:r>
      <w:r>
        <w:rPr>
          <w:rStyle w:val="VerbatimChar"/>
        </w:rPr>
        <w:t xml:space="preserve">Tx_fc − Thr</w:t>
      </w:r>
      <w:r>
        <w:t xml:space="preserve"> </w:t>
      </w:r>
      <w:r>
        <w:t xml:space="preserve">is added as a feature.</w:t>
      </w:r>
    </w:p>
    <w:p>
      <w:pPr>
        <w:pStyle w:val="BodyText"/>
      </w:pPr>
      <w:r>
        <w:t xml:space="preserve">Beyond the backbone we assemble a candidate pool of extended predictors spanning the four physical</w:t>
      </w:r>
      <w:r>
        <w:t xml:space="preserve"> </w:t>
      </w:r>
      <w:r>
        <w:t xml:space="preserve">groups of §2d, all constructed to be</w:t>
      </w:r>
      <w:r>
        <w:t xml:space="preserve"> </w:t>
      </w:r>
      <w:r>
        <w:rPr>
          <w:b/>
        </w:rPr>
        <w:t xml:space="preserve">leakage-safe</w:t>
      </w:r>
      <w:r>
        <w:t xml:space="preserve">: gridded and large-scale reforecast fields are</w:t>
      </w:r>
      <w:r>
        <w:t xml:space="preserve"> </w:t>
      </w:r>
      <w:r>
        <w:t xml:space="preserve">pure forecast quantities independent of the threshold; teleconnection indices (ENSO, MJO) are</w:t>
      </w:r>
      <w:r>
        <w:t xml:space="preserve"> </w:t>
      </w:r>
      <w:r>
        <w:rPr>
          <w:i/>
        </w:rPr>
        <w:t xml:space="preserve">observed</w:t>
      </w:r>
      <w:r>
        <w:rPr>
          <w:i/>
        </w:rPr>
        <w:t xml:space="preserve"> </w:t>
      </w:r>
      <w:r>
        <w:rPr>
          <w:i/>
        </w:rPr>
        <w:t xml:space="preserve">states known at initialisation</w:t>
      </w:r>
      <w:r>
        <w:t xml:space="preserve">; and the persistence predictors (</w:t>
      </w:r>
      <w:r>
        <w:rPr>
          <w:rStyle w:val="VerbatimChar"/>
        </w:rPr>
        <w:t xml:space="preserve">f_ante_ehdfreq</w:t>
      </w:r>
      <w:r>
        <w:t xml:space="preserve">,</w:t>
      </w:r>
      <w:r>
        <w:t xml:space="preserve"> </w:t>
      </w:r>
      <w:r>
        <w:rPr>
          <w:rStyle w:val="VerbatimChar"/>
        </w:rPr>
        <w:t xml:space="preserve">f_ante_sevmean</w:t>
      </w:r>
      <w:r>
        <w:t xml:space="preserve">)</w:t>
      </w:r>
      <w:r>
        <w:t xml:space="preserve"> </w:t>
      </w:r>
      <w:r>
        <w:t xml:space="preserve">apply the</w:t>
      </w:r>
      <w:r>
        <w:t xml:space="preserve"> </w:t>
      </w:r>
      <w:r>
        <w:rPr>
          <w:b/>
        </w:rPr>
        <w:t xml:space="preserve">fold-specific</w:t>
      </w:r>
      <w:r>
        <w:t xml:space="preserve"> </w:t>
      </w:r>
      <w:r>
        <w:t xml:space="preserve">threshold to observations dated strictly</w:t>
      </w:r>
      <w:r>
        <w:t xml:space="preserve"> </w:t>
      </w:r>
      <w:r>
        <w:rPr>
          <w:i/>
        </w:rPr>
        <w:t xml:space="preserve">before</w:t>
      </w:r>
      <w:r>
        <w:t xml:space="preserve"> </w:t>
      </w:r>
      <w:r>
        <w:t xml:space="preserve">initialisation. No</w:t>
      </w:r>
      <w:r>
        <w:t xml:space="preserve"> </w:t>
      </w:r>
      <w:r>
        <w:t xml:space="preserve">candidate uses any information dated at or after the block it predicts, and none uses the held-out year.</w:t>
      </w:r>
    </w:p>
    <w:p>
      <w:pPr>
        <w:pStyle w:val="Heading3"/>
      </w:pPr>
      <w:bookmarkStart w:id="38" w:name="d.-predictor-selection"/>
      <w:bookmarkEnd w:id="38"/>
      <w:r>
        <w:t xml:space="preserve">d. Predictor selection</w:t>
      </w:r>
    </w:p>
    <w:p>
      <w:pPr>
        <w:pStyle w:val="FirstParagraph"/>
      </w:pPr>
      <w:r>
        <w:t xml:space="preserve">Predictors are ranked</w:t>
      </w:r>
      <w:r>
        <w:t xml:space="preserve"> </w:t>
      </w:r>
      <w:r>
        <w:rPr>
          <w:b/>
        </w:rPr>
        <w:t xml:space="preserve">per lead block</w:t>
      </w:r>
      <w:r>
        <w:t xml:space="preserve"> </w:t>
      </w:r>
      <w:r>
        <w:t xml:space="preserve">by</w:t>
      </w:r>
      <w:r>
        <w:t xml:space="preserve"> </w:t>
      </w:r>
      <w:r>
        <w:rPr>
          <w:b/>
        </w:rPr>
        <w:t xml:space="preserve">out-of-sample permutation importance</w:t>
      </w:r>
      <w:r>
        <w:t xml:space="preserve">—the reduction in</w:t>
      </w:r>
      <w:r>
        <w:t xml:space="preserve"> </w:t>
      </w:r>
      <w:r>
        <w:t xml:space="preserve">held-out-year AUC when a single predictor's values are randomly shuffled, aggregated over the 20</w:t>
      </w:r>
      <w:r>
        <w:t xml:space="preserve"> </w:t>
      </w:r>
      <w:r>
        <w:t xml:space="preserve">leave-one-year-out folds—cross-checked against univariate mutual information. A predictor is</w:t>
      </w:r>
      <w:r>
        <w:t xml:space="preserve"> </w:t>
      </w:r>
      <w:r>
        <w:rPr>
          <w:i/>
        </w:rPr>
        <w:t xml:space="preserve">selected</w:t>
      </w:r>
      <w:r>
        <w:t xml:space="preserve"> </w:t>
      </w:r>
      <w:r>
        <w:t xml:space="preserve">for a block if its mean out-of-sample importance clears a noise floor estimated from shuffled controls;</w:t>
      </w:r>
      <w:r>
        <w:t xml:space="preserve"> </w:t>
      </w:r>
      <w:r>
        <w:t xml:space="preserve">its across-fold variability is reported as a diagnostic but is</w:t>
      </w:r>
      <w:r>
        <w:t xml:space="preserve"> </w:t>
      </w:r>
      <w:r>
        <w:rPr>
          <w:b/>
        </w:rPr>
        <w:t xml:space="preserve">not</w:t>
      </w:r>
      <w:r>
        <w:t xml:space="preserve"> </w:t>
      </w:r>
      <w:r>
        <w:t xml:space="preserve">used as a filter, because</w:t>
      </w:r>
      <w:r>
        <w:t xml:space="preserve"> </w:t>
      </w:r>
      <w:r>
        <w:t xml:space="preserve">episodic teleconnections are legitimately high-variance and would be unfairly penalised by a</w:t>
      </w:r>
      <w:r>
        <w:t xml:space="preserve"> </w:t>
      </w:r>
      <w:r>
        <w:t xml:space="preserve">variance-based screen. The procedure recovers a textbook, lead-dependent predictor structure (§4j) and</w:t>
      </w:r>
      <w:r>
        <w:t xml:space="preserve"> </w:t>
      </w:r>
      <w:r>
        <w:t xml:space="preserve">yields the fixed per-block lists used operationally (Table 2). The number of selected extended</w:t>
      </w:r>
      <w:r>
        <w:t xml:space="preserve"> </w:t>
      </w:r>
      <w:r>
        <w:t xml:space="preserve">predictors is itself lead-dependent, from a short thermodynamic set at W1 to the full slow suite at</w:t>
      </w:r>
      <w:r>
        <w:t xml:space="preserve"> </w:t>
      </w:r>
      <w:r>
        <w:t xml:space="preserve">W2–W4, narrowing to a few robust slow predictors at W6.</w:t>
      </w:r>
    </w:p>
    <w:p>
      <w:pPr>
        <w:pStyle w:val="BodyText"/>
      </w:pPr>
      <w:r>
        <w:rPr>
          <w:b/>
        </w:rPr>
        <w:t xml:space="preserve">Table 2.</w:t>
      </w:r>
      <w:r>
        <w:t xml:space="preserve"> </w:t>
      </w:r>
      <w:r>
        <w:t xml:space="preserve">Selected extended predictors per lead block (added to the ten-feature backbone).</w:t>
      </w:r>
      <w:r>
        <w:t xml:space="preserve"> </w:t>
      </w:r>
      <w:r>
        <w:rPr>
          <w:rStyle w:val="VerbatimChar"/>
        </w:rPr>
        <w:t xml:space="preserve">t850_reg</w:t>
      </w:r>
      <w:r>
        <w:t xml:space="preserve">,</w:t>
      </w:r>
      <w:r>
        <w:t xml:space="preserve"> </w:t>
      </w:r>
      <w:r>
        <w:rPr>
          <w:rStyle w:val="VerbatimChar"/>
        </w:rPr>
        <w:t xml:space="preserve">z500_reg</w:t>
      </w:r>
      <w:r>
        <w:t xml:space="preserve">,</w:t>
      </w:r>
      <w:r>
        <w:t xml:space="preserve"> </w:t>
      </w:r>
      <w:r>
        <w:rPr>
          <w:rStyle w:val="VerbatimChar"/>
        </w:rPr>
        <w:t xml:space="preserve">z500_sub</w:t>
      </w:r>
      <w:r>
        <w:t xml:space="preserve">,</w:t>
      </w:r>
      <w:r>
        <w:t xml:space="preserve"> </w:t>
      </w:r>
      <w:r>
        <w:rPr>
          <w:rStyle w:val="VerbatimChar"/>
        </w:rPr>
        <w:t xml:space="preserve">z500_grad</w:t>
      </w:r>
      <w:r>
        <w:t xml:space="preserve"> </w:t>
      </w:r>
      <w:r>
        <w:t xml:space="preserve">are box-mean 850-hPa temperature and 500-hPa geopotential over the</w:t>
      </w:r>
      <w:r>
        <w:t xml:space="preserve"> </w:t>
      </w:r>
      <w:r>
        <w:t xml:space="preserve">Vietnam and subtropical boxes and their gradient;</w:t>
      </w:r>
      <w:r>
        <w:t xml:space="preserve"> </w:t>
      </w:r>
      <w:r>
        <w:rPr>
          <w:rStyle w:val="VerbatimChar"/>
        </w:rPr>
        <w:t xml:space="preserve">enso_nino34</w:t>
      </w:r>
      <w:r>
        <w:t xml:space="preserve"> </w:t>
      </w:r>
      <w:r>
        <w:t xml:space="preserve">is monthly Niño-3.4;</w:t>
      </w:r>
      <w:r>
        <w:t xml:space="preserve"> </w:t>
      </w:r>
      <w:r>
        <w:rPr>
          <w:rStyle w:val="VerbatimChar"/>
        </w:rPr>
        <w:t xml:space="preserve">mjo_pc1/pc2</w:t>
      </w:r>
      <w:r>
        <w:t xml:space="preserve"> </w:t>
      </w:r>
      <w:r>
        <w:t xml:space="preserve">are</w:t>
      </w:r>
      <w:r>
        <w:t xml:space="preserve"> </w:t>
      </w:r>
      <w:r>
        <w:t xml:space="preserve">OMI components;</w:t>
      </w:r>
      <w:r>
        <w:t xml:space="preserve"> </w:t>
      </w:r>
      <w:r>
        <w:rPr>
          <w:rStyle w:val="VerbatimChar"/>
        </w:rPr>
        <w:t xml:space="preserve">f_ante_*</w:t>
      </w:r>
      <w:r>
        <w:t xml:space="preserve"> </w:t>
      </w:r>
      <w:r>
        <w:t xml:space="preserve">are antecedent 15-day EHD frequency and mean severity.</w:t>
      </w:r>
    </w:p>
    <w:tbl>
      <w:tblPr>
        <w:tblStyle w:val="TableNormal"/>
        <w:tblW w:type="pct" w:w="2708.3333333333335"/>
        <w:tblLook w:firstRow="1"/>
      </w:tblPr>
      <w:tblGrid>
        <w:gridCol w:w="880"/>
        <w:gridCol w:w="341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selected extended predictors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cape, t850_reg, f_ante_ehdfreq, f_ante_sevmean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t850_reg, z500_reg, z500_sub, z500_grad, enso_nino34, mjo_pc1, mjo_pc2, f_ante_ehdfreq, f_ante_sevmean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enso_nino34, mjo_pc1, mjo_pc2, t850_reg, z500_reg, z500_sub, z500_grad, f_ante_ehdfreq, f_ante_sevmean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enso_nino34, mjo_pc1, mjo_pc2, t850_reg, z500_reg, z500_sub, z500_grad, f_ante_ehdfreq, f_ante_sevmean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enso_nino34, mjo_pc2, t850_reg, z500_sub, z500_grad, f_ante_ehdfreq, f_ante_sevmean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enso_nino34, z500_reg, z500_sub, f_ante_ehdfreq</w:t>
            </w:r>
          </w:p>
        </w:tc>
      </w:tr>
    </w:tbl>
    <w:p>
      <w:pPr>
        <w:pStyle w:val="Heading3"/>
      </w:pPr>
      <w:bookmarkStart w:id="39" w:name="e.-the-machine-learning-model-zoo"/>
      <w:bookmarkEnd w:id="39"/>
      <w:r>
        <w:t xml:space="preserve">e. The machine-learning model zoo</w:t>
      </w:r>
    </w:p>
    <w:p>
      <w:pPr>
        <w:pStyle w:val="FirstParagraph"/>
      </w:pPr>
      <w:r>
        <w:t xml:space="preserve">Because the reforecast is control-only,</w:t>
      </w:r>
      <w:r>
        <w:t xml:space="preserve"> </w:t>
      </w:r>
      <w:r>
        <w:rPr>
          <w:rStyle w:val="VerbatimChar"/>
        </w:rPr>
        <w:t xml:space="preserve">P(EHDE)</w:t>
      </w:r>
      <w:r>
        <w:t xml:space="preserve"> </w:t>
      </w:r>
      <w:r>
        <w:rPr>
          <w:b/>
        </w:rPr>
        <w:t xml:space="preserve">cannot</w:t>
      </w:r>
      <w:r>
        <w:t xml:space="preserve"> </w:t>
      </w:r>
      <w:r>
        <w:t xml:space="preserve">be an ensemble exceedance fraction; every</w:t>
      </w:r>
      <w:r>
        <w:t xml:space="preserve"> </w:t>
      </w:r>
      <w:r>
        <w:t xml:space="preserve">model below is a</w:t>
      </w:r>
      <w:r>
        <w:t xml:space="preserve"> </w:t>
      </w:r>
      <w:r>
        <w:rPr>
          <w:b/>
        </w:rPr>
        <w:t xml:space="preserve">single-member MOS</w:t>
      </w:r>
      <w:r>
        <w:t xml:space="preserve"> </w:t>
      </w:r>
      <w:r>
        <w:t xml:space="preserve">map from features to a calibrated probability. The zoo was built</w:t>
      </w:r>
      <w:r>
        <w:t xml:space="preserve"> </w:t>
      </w:r>
      <w:r>
        <w:t xml:space="preserve">incrementally—a two-model headline (v1), an expanded severity-aware zoo (v2), and a lead-aware hybrid</w:t>
      </w:r>
      <w:r>
        <w:t xml:space="preserve"> </w:t>
      </w:r>
      <w:r>
        <w:t xml:space="preserve">zoo with deep learning (v3)—and all members share a common</w:t>
      </w:r>
      <w:r>
        <w:t xml:space="preserve"> </w:t>
      </w:r>
      <w:r>
        <w:rPr>
          <w:rStyle w:val="VerbatimChar"/>
        </w:rPr>
        <w:t xml:space="preserve">fit(X, y) → predict_proba(X)</w:t>
      </w:r>
      <w:r>
        <w:t xml:space="preserve"> </w:t>
      </w:r>
      <w:r>
        <w:t xml:space="preserve">interface,</w:t>
      </w:r>
      <w:r>
        <w:t xml:space="preserve"> </w:t>
      </w:r>
      <w:r>
        <w:t xml:space="preserve">LOYO-nested training (§3h), and out-of-fold calibration (§3f). Two references are always carried:</w:t>
      </w:r>
      <w:r>
        <w:t xml:space="preserve"> </w:t>
      </w:r>
      <w:r>
        <w:rPr>
          <w:rStyle w:val="VerbatimChar"/>
        </w:rPr>
        <w:t xml:space="preserve">raw</w:t>
      </w:r>
      <w:r>
        <w:t xml:space="preserve"> </w:t>
      </w:r>
      <w:r>
        <w:t xml:space="preserve">(the forecast block-exceedance fraction) and</w:t>
      </w:r>
      <w:r>
        <w:t xml:space="preserve"> </w:t>
      </w:r>
      <w:r>
        <w:rPr>
          <w:rStyle w:val="VerbatimChar"/>
        </w:rPr>
        <w:t xml:space="preserve">climat</w:t>
      </w:r>
      <w:r>
        <w:t xml:space="preserve"> </w:t>
      </w:r>
      <w:r>
        <w:t xml:space="preserve">(the training base rate).</w:t>
      </w:r>
    </w:p>
    <w:p>
      <w:pPr>
        <w:pStyle w:val="BodyText"/>
      </w:pPr>
      <w:r>
        <w:rPr>
          <w:i/>
        </w:rPr>
        <w:t xml:space="preserve">Tabular families.</w:t>
      </w:r>
      <w:r>
        <w:t xml:space="preserve"> </w:t>
      </w:r>
      <w:r>
        <w:t xml:space="preserve">Table 3 lists the tabular members with their key hyperparameters.</w:t>
      </w:r>
      <w:r>
        <w:t xml:space="preserve"> </w:t>
      </w:r>
      <w:r>
        <w:rPr>
          <w:b/>
        </w:rPr>
        <w:t xml:space="preserve">Penalised</w:t>
      </w:r>
      <w:r>
        <w:rPr>
          <w:b/>
        </w:rPr>
        <w:t xml:space="preserve"> </w:t>
      </w:r>
      <w:r>
        <w:rPr>
          <w:b/>
        </w:rPr>
        <w:t xml:space="preserve">logistic regression</w:t>
      </w:r>
      <w:r>
        <w:t xml:space="preserve"> </w:t>
      </w:r>
      <w:r>
        <w:t xml:space="preserve">(standardised features, L2) is the interpretable statistical baseline and, as it</w:t>
      </w:r>
      <w:r>
        <w:t xml:space="preserve"> </w:t>
      </w:r>
      <w:r>
        <w:t xml:space="preserve">turns out, the strongest single tabular family at extended range.</w:t>
      </w:r>
      <w:r>
        <w:t xml:space="preserve"> </w:t>
      </w:r>
      <w:r>
        <w:rPr>
          <w:b/>
        </w:rPr>
        <w:t xml:space="preserve">Histogram gradient boosting (HGB)</w:t>
      </w:r>
      <w:r>
        <w:t xml:space="preserve"> </w:t>
      </w:r>
      <w:r>
        <w:t xml:space="preserve">is the machine-learning workhorse;</w:t>
      </w:r>
      <w:r>
        <w:t xml:space="preserve"> </w:t>
      </w:r>
      <w:r>
        <w:rPr>
          <w:b/>
        </w:rPr>
        <w:t xml:space="preserve">XGBoost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LightGBM</w:t>
      </w:r>
      <w:r>
        <w:t xml:space="preserve"> </w:t>
      </w:r>
      <w:r>
        <w:t xml:space="preserve">add gradient-boosting</w:t>
      </w:r>
      <w:r>
        <w:t xml:space="preserve"> </w:t>
      </w:r>
      <w:r>
        <w:rPr>
          <w:i/>
        </w:rPr>
        <w:t xml:space="preserve">diversity</w:t>
      </w:r>
      <w:r>
        <w:t xml:space="preserve"> </w:t>
      </w:r>
      <w:r>
        <w:t xml:space="preserve">with</w:t>
      </w:r>
      <w:r>
        <w:t xml:space="preserve"> </w:t>
      </w:r>
      <w:r>
        <w:t xml:space="preserve">different regularisation and split strategies (Chen and Guestrin 2016; Ke et al. 2017).</w:t>
      </w:r>
      <w:r>
        <w:t xml:space="preserve"> </w:t>
      </w:r>
      <w:r>
        <w:rPr>
          <w:b/>
        </w:rPr>
        <w:t xml:space="preserve">Random</w:t>
      </w:r>
      <w:r>
        <w:rPr>
          <w:b/>
        </w:rPr>
        <w:t xml:space="preserve"> </w:t>
      </w:r>
      <w:r>
        <w:rPr>
          <w:b/>
        </w:rPr>
        <w:t xml:space="preserve">forests</w:t>
      </w:r>
      <w:r>
        <w:t xml:space="preserve"> </w:t>
      </w:r>
      <w:r>
        <w:t xml:space="preserve">(Breiman 2001) and a scikit-learn</w:t>
      </w:r>
      <w:r>
        <w:t xml:space="preserve"> </w:t>
      </w:r>
      <w:r>
        <w:rPr>
          <w:b/>
        </w:rPr>
        <w:t xml:space="preserve">multilayer perceptron (MLP)</w:t>
      </w:r>
      <w:r>
        <w:t xml:space="preserve"> </w:t>
      </w:r>
      <w:r>
        <w:t xml:space="preserve">complete the tabular set.</w:t>
      </w:r>
      <w:r>
        <w:t xml:space="preserve"> </w:t>
      </w:r>
      <w:r>
        <w:t xml:space="preserve">Each family exists in a</w:t>
      </w:r>
      <w:r>
        <w:t xml:space="preserve"> </w:t>
      </w:r>
      <w:r>
        <w:rPr>
          <w:b/>
        </w:rPr>
        <w:t xml:space="preserve">classifier</w:t>
      </w:r>
      <w:r>
        <w:t xml:space="preserve"> </w:t>
      </w:r>
      <w:r>
        <w:t xml:space="preserve">form (learning EHDE directly) and, where meaningful, a</w:t>
      </w:r>
      <w:r>
        <w:t xml:space="preserve"> </w:t>
      </w:r>
      <w:r>
        <w:rPr>
          <w:b/>
        </w:rPr>
        <w:t xml:space="preserve">severity-regressor</w:t>
      </w:r>
      <w:r>
        <w:t xml:space="preserve"> </w:t>
      </w:r>
      <w:r>
        <w:t xml:space="preserve">form (</w:t>
      </w:r>
      <w:r>
        <w:rPr>
          <w:rStyle w:val="VerbatimChar"/>
        </w:rPr>
        <w:t xml:space="preserve">ridge_sev</w:t>
      </w:r>
      <w:r>
        <w:t xml:space="preserve">,</w:t>
      </w:r>
      <w:r>
        <w:t xml:space="preserve"> </w:t>
      </w:r>
      <w:r>
        <w:rPr>
          <w:rStyle w:val="VerbatimChar"/>
        </w:rPr>
        <w:t xml:space="preserve">hgb_sev</w:t>
      </w:r>
      <w:r>
        <w:t xml:space="preserve">,</w:t>
      </w:r>
      <w:r>
        <w:t xml:space="preserve"> </w:t>
      </w:r>
      <w:r>
        <w:rPr>
          <w:rStyle w:val="VerbatimChar"/>
        </w:rPr>
        <w:t xml:space="preserve">mlp_sev</w:t>
      </w:r>
      <w:r>
        <w:t xml:space="preserve">,</w:t>
      </w:r>
      <w:r>
        <w:t xml:space="preserve"> </w:t>
      </w:r>
      <w:r>
        <w:rPr>
          <w:rStyle w:val="VerbatimChar"/>
        </w:rPr>
        <w:t xml:space="preserve">xgb_sev</w:t>
      </w:r>
      <w:r>
        <w:t xml:space="preserve">,</w:t>
      </w:r>
      <w:r>
        <w:t xml:space="preserve"> </w:t>
      </w:r>
      <w:r>
        <w:rPr>
          <w:rStyle w:val="VerbatimChar"/>
        </w:rPr>
        <w:t xml:space="preserve">lgbm_sev</w:t>
      </w:r>
      <w:r>
        <w:t xml:space="preserve">; §3a, §3f).</w:t>
      </w:r>
    </w:p>
    <w:p>
      <w:pPr>
        <w:pStyle w:val="BodyText"/>
      </w:pPr>
      <w:r>
        <w:rPr>
          <w:b/>
        </w:rPr>
        <w:t xml:space="preserve">Table 3.</w:t>
      </w:r>
      <w:r>
        <w:t xml:space="preserve"> </w:t>
      </w:r>
      <w:r>
        <w:t xml:space="preserve">Tabular model families and principal hyperparameters. All classifiers standardise inputs</w:t>
      </w:r>
      <w:r>
        <w:t xml:space="preserve"> </w:t>
      </w:r>
      <w:r>
        <w:t xml:space="preserve">where relevant and are trained with nested hyperparameter selection inside each LOYO fold.</w:t>
      </w:r>
    </w:p>
    <w:tbl>
      <w:tblPr>
        <w:tblStyle w:val="TableNormal"/>
        <w:tblW w:type="pct" w:w="2638.888888888889"/>
        <w:tblLook w:firstRow="1"/>
      </w:tblPr>
      <w:tblGrid>
        <w:gridCol w:w="990"/>
        <w:gridCol w:w="770"/>
        <w:gridCol w:w="24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family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key hyperparameters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logistic</w:t>
            </w:r>
          </w:p>
        </w:tc>
        <w:tc>
          <w:p>
            <w:pPr>
              <w:pStyle w:val="Compact"/>
              <w:jc w:val="left"/>
            </w:pPr>
            <w:r>
              <w:t xml:space="preserve">classifier</w:t>
            </w:r>
          </w:p>
        </w:tc>
        <w:tc>
          <w:p>
            <w:pPr>
              <w:pStyle w:val="Compact"/>
              <w:jc w:val="left"/>
            </w:pPr>
            <w:r>
              <w:t xml:space="preserve">L2,</w:t>
            </w:r>
            <w:r>
              <w:t xml:space="preserve"> </w:t>
            </w:r>
            <w:r>
              <w:rPr>
                <w:rStyle w:val="VerbatimChar"/>
              </w:rPr>
              <w:t xml:space="preserve">C = 1.0</w:t>
            </w:r>
            <w:r>
              <w:t xml:space="preserve">, standardised,</w:t>
            </w:r>
            <w:r>
              <w:t xml:space="preserve"> </w:t>
            </w:r>
            <w:r>
              <w:rPr>
                <w:rStyle w:val="VerbatimChar"/>
              </w:rPr>
              <w:t xml:space="preserve">max_iter = 1000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hgb</w:t>
            </w:r>
          </w:p>
        </w:tc>
        <w:tc>
          <w:p>
            <w:pPr>
              <w:pStyle w:val="Compact"/>
              <w:jc w:val="left"/>
            </w:pPr>
            <w:r>
              <w:t xml:space="preserve">classifier</w:t>
            </w:r>
          </w:p>
        </w:tc>
        <w:tc>
          <w:p>
            <w:pPr>
              <w:pStyle w:val="Compact"/>
              <w:jc w:val="left"/>
            </w:pPr>
            <w:r>
              <w:t xml:space="preserve">learning rate 0.06,</w:t>
            </w:r>
            <w:r>
              <w:t xml:space="preserve"> </w:t>
            </w:r>
            <w:r>
              <w:rPr>
                <w:rStyle w:val="VerbatimChar"/>
              </w:rPr>
              <w:t xml:space="preserve">max_iter = 300</w:t>
            </w:r>
            <w:r>
              <w:t xml:space="preserve">, log-loss, L2 leaf reg.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rf</w:t>
            </w:r>
          </w:p>
        </w:tc>
        <w:tc>
          <w:p>
            <w:pPr>
              <w:pStyle w:val="Compact"/>
              <w:jc w:val="left"/>
            </w:pPr>
            <w:r>
              <w:t xml:space="preserve">classifier</w:t>
            </w:r>
          </w:p>
        </w:tc>
        <w:tc>
          <w:p>
            <w:pPr>
              <w:pStyle w:val="Compact"/>
              <w:jc w:val="left"/>
            </w:pPr>
            <w:r>
              <w:t xml:space="preserve">300 trees,</w:t>
            </w:r>
            <w:r>
              <w:t xml:space="preserve"> </w:t>
            </w:r>
            <w:r>
              <w:rPr>
                <w:rStyle w:val="VerbatimChar"/>
              </w:rPr>
              <w:t xml:space="preserve">min_samples_leaf = 100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mlp</w:t>
            </w:r>
          </w:p>
        </w:tc>
        <w:tc>
          <w:p>
            <w:pPr>
              <w:pStyle w:val="Compact"/>
              <w:jc w:val="left"/>
            </w:pPr>
            <w:r>
              <w:t xml:space="preserve">classifier</w:t>
            </w:r>
          </w:p>
        </w:tc>
        <w:tc>
          <w:p>
            <w:pPr>
              <w:pStyle w:val="Compact"/>
              <w:jc w:val="left"/>
            </w:pPr>
            <w:r>
              <w:t xml:space="preserve">hidden (64, 32), L2</w:t>
            </w:r>
            <w:r>
              <w:t xml:space="preserve"> </w:t>
            </w:r>
            <w:r>
              <w:rPr>
                <w:rStyle w:val="VerbatimChar"/>
              </w:rPr>
              <w:t xml:space="preserve">α = 1e-3</w:t>
            </w:r>
            <w:r>
              <w:t xml:space="preserve">, early stopping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xgb</w:t>
            </w:r>
          </w:p>
        </w:tc>
        <w:tc>
          <w:p>
            <w:pPr>
              <w:pStyle w:val="Compact"/>
              <w:jc w:val="left"/>
            </w:pPr>
            <w:r>
              <w:t xml:space="preserve">classifier</w:t>
            </w:r>
          </w:p>
        </w:tc>
        <w:tc>
          <w:p>
            <w:pPr>
              <w:pStyle w:val="Compact"/>
              <w:jc w:val="left"/>
            </w:pPr>
            <w:r>
              <w:t xml:space="preserve">400 trees, depth 4, lr 0.05, histogram method, seeded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lgbm</w:t>
            </w:r>
          </w:p>
        </w:tc>
        <w:tc>
          <w:p>
            <w:pPr>
              <w:pStyle w:val="Compact"/>
              <w:jc w:val="left"/>
            </w:pPr>
            <w:r>
              <w:t xml:space="preserve">classifier</w:t>
            </w:r>
          </w:p>
        </w:tc>
        <w:tc>
          <w:p>
            <w:pPr>
              <w:pStyle w:val="Compact"/>
              <w:jc w:val="left"/>
            </w:pPr>
            <w:r>
              <w:t xml:space="preserve">500 trees, 31 leaves, lr 0.05, seeded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ridge_sev</w:t>
            </w:r>
          </w:p>
        </w:tc>
        <w:tc>
          <w:p>
            <w:pPr>
              <w:pStyle w:val="Compact"/>
              <w:jc w:val="left"/>
            </w:pPr>
            <w:r>
              <w:t xml:space="preserve">Sev regressor → isotonic</w:t>
            </w:r>
          </w:p>
        </w:tc>
        <w:tc>
          <w:p>
            <w:pPr>
              <w:pStyle w:val="Compact"/>
              <w:jc w:val="left"/>
            </w:pPr>
            <w:r>
              <w:t xml:space="preserve">ridge</w:t>
            </w:r>
            <w:r>
              <w:t xml:space="preserve"> </w:t>
            </w:r>
            <w:r>
              <w:rPr>
                <w:rStyle w:val="VerbatimChar"/>
              </w:rPr>
              <w:t xml:space="preserve">α = 1.0</w:t>
            </w:r>
            <w:r>
              <w:t xml:space="preserve">, standardised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hgb_sev</w:t>
            </w:r>
          </w:p>
        </w:tc>
        <w:tc>
          <w:p>
            <w:pPr>
              <w:pStyle w:val="Compact"/>
              <w:jc w:val="left"/>
            </w:pPr>
            <w:r>
              <w:t xml:space="preserve">Sev regressor → isotonic</w:t>
            </w:r>
          </w:p>
        </w:tc>
        <w:tc>
          <w:p>
            <w:pPr>
              <w:pStyle w:val="Compact"/>
              <w:jc w:val="left"/>
            </w:pPr>
            <w:r>
              <w:t xml:space="preserve">lr 0.06,</w:t>
            </w:r>
            <w:r>
              <w:t xml:space="preserve"> </w:t>
            </w:r>
            <w:r>
              <w:rPr>
                <w:rStyle w:val="VerbatimChar"/>
              </w:rPr>
              <w:t xml:space="preserve">max_iter = 300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min_samples_leaf = 200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mlp_sev</w:t>
            </w:r>
          </w:p>
        </w:tc>
        <w:tc>
          <w:p>
            <w:pPr>
              <w:pStyle w:val="Compact"/>
              <w:jc w:val="left"/>
            </w:pPr>
            <w:r>
              <w:t xml:space="preserve">Sev regressor → isotonic</w:t>
            </w:r>
          </w:p>
        </w:tc>
        <w:tc>
          <w:p>
            <w:pPr>
              <w:pStyle w:val="Compact"/>
              <w:jc w:val="left"/>
            </w:pPr>
            <w:r>
              <w:t xml:space="preserve">hidden (64, 32), early stopping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xgb_sev / lgbm_sev</w:t>
            </w:r>
          </w:p>
        </w:tc>
        <w:tc>
          <w:p>
            <w:pPr>
              <w:pStyle w:val="Compact"/>
              <w:jc w:val="left"/>
            </w:pPr>
            <w:r>
              <w:t xml:space="preserve">Sev regressor → isotonic</w:t>
            </w:r>
          </w:p>
        </w:tc>
        <w:tc>
          <w:p>
            <w:pPr>
              <w:pStyle w:val="Compact"/>
              <w:jc w:val="left"/>
            </w:pPr>
            <w:r>
              <w:t xml:space="preserve">as xgb / lgbm, regression objective</w:t>
            </w:r>
          </w:p>
        </w:tc>
      </w:tr>
    </w:tbl>
    <w:p>
      <w:pPr>
        <w:pStyle w:val="BodyText"/>
      </w:pPr>
      <w:r>
        <w:rPr>
          <w:i/>
        </w:rPr>
        <w:t xml:space="preserve">Deep-learning members.</w:t>
      </w:r>
      <w:r>
        <w:t xml:space="preserve"> </w:t>
      </w:r>
      <w:r>
        <w:t xml:space="preserve">Four neural members are implemented in PyTorch (CPU), all trained with a</w:t>
      </w:r>
      <w:r>
        <w:t xml:space="preserve"> </w:t>
      </w:r>
      <w:r>
        <w:t xml:space="preserve">class-imbalance-weighted binary cross-entropy (</w:t>
      </w:r>
      <w:r>
        <w:rPr>
          <w:rStyle w:val="VerbatimChar"/>
        </w:rPr>
        <w:t xml:space="preserve">pos_weight</w:t>
      </w:r>
      <w:r>
        <w:t xml:space="preserve"> </w:t>
      </w:r>
      <w:r>
        <w:t xml:space="preserve">set from the training base rate), a 10 %</w:t>
      </w:r>
      <w:r>
        <w:t xml:space="preserve"> </w:t>
      </w:r>
      <w:r>
        <w:t xml:space="preserve">validation split for early stopping, and out-of-fold isotonic calibration. (i) A</w:t>
      </w:r>
      <w:r>
        <w:t xml:space="preserve"> </w:t>
      </w:r>
      <w:r>
        <w:rPr>
          <w:b/>
        </w:rPr>
        <w:t xml:space="preserve">fully-convolutional</w:t>
      </w:r>
      <w:r>
        <w:rPr>
          <w:b/>
        </w:rPr>
        <w:t xml:space="preserve"> </w:t>
      </w:r>
      <w:r>
        <w:rPr>
          <w:b/>
        </w:rPr>
        <w:t xml:space="preserve">CNN</w:t>
      </w:r>
      <w:r>
        <w:t xml:space="preserve"> </w:t>
      </w:r>
      <w:r>
        <w:t xml:space="preserve">(</w:t>
      </w:r>
      <w:r>
        <w:rPr>
          <w:rStyle w:val="VerbatimChar"/>
        </w:rPr>
        <w:t xml:space="preserve">TorchCNN</w:t>
      </w:r>
      <w:r>
        <w:t xml:space="preserve">) operates on block-aggregated forecast maps: a stack of 3×3 convolutions</w:t>
      </w:r>
      <w:r>
        <w:t xml:space="preserve"> </w:t>
      </w:r>
      <w:r>
        <w:t xml:space="preserve">(32→32→16→1 channels) with per-channel standardisation from training statistics, producing a per-cell</w:t>
      </w:r>
      <w:r>
        <w:t xml:space="preserve"> </w:t>
      </w:r>
      <w:r>
        <w:t xml:space="preserve">probability field. (ii) A</w:t>
      </w:r>
      <w:r>
        <w:t xml:space="preserve"> </w:t>
      </w:r>
      <w:r>
        <w:rPr>
          <w:b/>
        </w:rPr>
        <w:t xml:space="preserve">residual U-Net</w:t>
      </w:r>
      <w:r>
        <w:t xml:space="preserve"> </w:t>
      </w:r>
      <w:r>
        <w:t xml:space="preserve">(</w:t>
      </w:r>
      <w:r>
        <w:rPr>
          <w:rStyle w:val="VerbatimChar"/>
        </w:rPr>
        <w:t xml:space="preserve">TorchResUNet</w:t>
      </w:r>
      <w:r>
        <w:t xml:space="preserve">; Ronneberger et al. 2015) over the 41×65</w:t>
      </w:r>
      <w:r>
        <w:t xml:space="preserve"> </w:t>
      </w:r>
      <w:r>
        <w:t xml:space="preserve">Vietnam grid adds a two-level encoder/decoder with skip connections and residual convolution blocks</w:t>
      </w:r>
      <w:r>
        <w:t xml:space="preserve"> </w:t>
      </w:r>
      <w:r>
        <w:t xml:space="preserve">(batch-normalised), padding the grid to a multiple of four and cropping the output back. (iii) A</w:t>
      </w:r>
      <w:r>
        <w:t xml:space="preserve"> </w:t>
      </w:r>
      <w:r>
        <w:rPr>
          <w:b/>
        </w:rPr>
        <w:t xml:space="preserve">deep MLP</w:t>
      </w:r>
      <w:r>
        <w:t xml:space="preserve"> </w:t>
      </w:r>
      <w:r>
        <w:t xml:space="preserve">(</w:t>
      </w:r>
      <w:r>
        <w:rPr>
          <w:rStyle w:val="VerbatimChar"/>
        </w:rPr>
        <w:t xml:space="preserve">TorchANN</w:t>
      </w:r>
      <w:r>
        <w:t xml:space="preserve">, hidden [128, 64, 32], ReLU, dropout 0.2) is a more expressive tabular network.</w:t>
      </w:r>
      <w:r>
        <w:t xml:space="preserve"> </w:t>
      </w:r>
      <w:r>
        <w:t xml:space="preserve">(iv) A</w:t>
      </w:r>
      <w:r>
        <w:t xml:space="preserve"> </w:t>
      </w:r>
      <w:r>
        <w:rPr>
          <w:b/>
        </w:rPr>
        <w:t xml:space="preserve">feature-tokenizer Transformer</w:t>
      </w:r>
      <w:r>
        <w:t xml:space="preserve"> </w:t>
      </w:r>
      <w:r>
        <w:t xml:space="preserve">(</w:t>
      </w:r>
      <w:r>
        <w:rPr>
          <w:rStyle w:val="VerbatimChar"/>
        </w:rPr>
        <w:t xml:space="preserve">TorchFTTransformer</w:t>
      </w:r>
      <w:r>
        <w:t xml:space="preserve">; Vaswani et al. 2017) projects each</w:t>
      </w:r>
      <w:r>
        <w:t xml:space="preserve"> </w:t>
      </w:r>
      <w:r>
        <w:t xml:space="preserve">numeric feature to a</w:t>
      </w:r>
      <w:r>
        <w:t xml:space="preserve"> </w:t>
      </w:r>
      <w:r>
        <w:rPr>
          <w:rStyle w:val="VerbatimChar"/>
        </w:rPr>
        <w:t xml:space="preserve">d_model = 32</w:t>
      </w:r>
      <w:r>
        <w:t xml:space="preserve"> </w:t>
      </w:r>
      <w:r>
        <w:t xml:space="preserve">token, prepends a learnable CLS token, and applies two</w:t>
      </w:r>
      <w:r>
        <w:t xml:space="preserve"> </w:t>
      </w:r>
      <w:r>
        <w:t xml:space="preserve">multi-head-attention encoder layers (4 heads, dropout); it is kept deliberately compact because the</w:t>
      </w:r>
      <w:r>
        <w:t xml:space="preserve"> </w:t>
      </w:r>
      <w:r>
        <w:t xml:space="preserve">extended-range training signal is weak. Members (iii) and (iv) were evaluated but, being BSS-negative</w:t>
      </w:r>
      <w:r>
        <w:t xml:space="preserve"> </w:t>
      </w:r>
      <w:r>
        <w:t xml:space="preserve">at long lead, are</w:t>
      </w:r>
      <w:r>
        <w:t xml:space="preserve"> </w:t>
      </w:r>
      <w:r>
        <w:rPr>
          <w:b/>
        </w:rPr>
        <w:t xml:space="preserve">excluded from the production stack</w:t>
      </w:r>
      <w:r>
        <w:t xml:space="preserve"> </w:t>
      </w:r>
      <w:r>
        <w:t xml:space="preserve">(§4j).</w:t>
      </w:r>
    </w:p>
    <w:p>
      <w:pPr>
        <w:pStyle w:val="BodyText"/>
      </w:pPr>
      <w:r>
        <w:rPr>
          <w:i/>
        </w:rPr>
        <w:t xml:space="preserve">True-spatial full-field network.</w:t>
      </w:r>
      <w:r>
        <w:t xml:space="preserve"> </w:t>
      </w:r>
      <w:r>
        <w:t xml:space="preserve">To test whether resolving real large-scale spatial patterns—rather</w:t>
      </w:r>
      <w:r>
        <w:t xml:space="preserve"> </w:t>
      </w:r>
      <w:r>
        <w:t xml:space="preserve">than broadcasting box-mean indices—adds skill, we build a comprehensive</w:t>
      </w:r>
      <w:r>
        <w:t xml:space="preserve"> </w:t>
      </w:r>
      <w:r>
        <w:rPr>
          <w:b/>
        </w:rPr>
        <w:t xml:space="preserve">full-field cache</w:t>
      </w:r>
      <w:r>
        <w:t xml:space="preserve"> </w:t>
      </w:r>
      <w:r>
        <w:t xml:space="preserve">(block-mean</w:t>
      </w:r>
      <w:r>
        <w:t xml:space="preserve"> </w:t>
      </w:r>
      <w:r>
        <w:t xml:space="preserve">of the raw gridded fields over the six blocks, ocean retained, leakage-free: 55 channels comprising</w:t>
      </w:r>
      <w:r>
        <w:t xml:space="preserve"> </w:t>
      </w:r>
      <w:r>
        <w:t xml:space="preserve">extended-domain Z500/T850/U200/V200 on a 1.0° 71×61 grid and native-grid surface and multi-level</w:t>
      </w:r>
      <w:r>
        <w:t xml:space="preserve"> </w:t>
      </w:r>
      <w:r>
        <w:t xml:space="preserve">T/H/W/Q/U/V fields) and a</w:t>
      </w:r>
      <w:r>
        <w:t xml:space="preserve"> </w:t>
      </w:r>
      <w:r>
        <w:rPr>
          <w:b/>
        </w:rPr>
        <w:t xml:space="preserve">two-branch fully-convolutional network</w:t>
      </w:r>
      <w:r>
        <w:t xml:space="preserve"> </w:t>
      </w:r>
      <w:r>
        <w:t xml:space="preserve">(</w:t>
      </w:r>
      <w:r>
        <w:rPr>
          <w:rStyle w:val="VerbatimChar"/>
        </w:rPr>
        <w:t xml:space="preserve">FullFieldResUNet</w:t>
      </w:r>
      <w:r>
        <w:t xml:space="preserve">): a residual</w:t>
      </w:r>
      <w:r>
        <w:t xml:space="preserve"> </w:t>
      </w:r>
      <w:r>
        <w:t xml:space="preserve">U-Net over the Vietnam grid whose channels are the native full-field fields plus the rasterised backbone</w:t>
      </w:r>
      <w:r>
        <w:t xml:space="preserve"> </w:t>
      </w:r>
      <w:r>
        <w:t xml:space="preserve">features, fused with a small CNN encoder over the extended domain that global-average-pools to a context</w:t>
      </w:r>
      <w:r>
        <w:t xml:space="preserve"> </w:t>
      </w:r>
      <w:r>
        <w:t xml:space="preserve">vector tiled back onto the Vietnam grid. This is the definitive test of the spatial-morphology</w:t>
      </w:r>
      <w:r>
        <w:t xml:space="preserve"> </w:t>
      </w:r>
      <w:r>
        <w:t xml:space="preserve">hypothesis; its (negative) result is reported in §4k.</w:t>
      </w:r>
    </w:p>
    <w:p>
      <w:pPr>
        <w:pStyle w:val="Heading3"/>
      </w:pPr>
      <w:bookmarkStart w:id="40" w:name="f.-probability-calibration-and-the-two-level-cascade"/>
      <w:bookmarkEnd w:id="40"/>
      <w:r>
        <w:t xml:space="preserve">f. Probability calibration and the two-level cascade</w:t>
      </w:r>
    </w:p>
    <w:p>
      <w:pPr>
        <w:pStyle w:val="FirstParagraph"/>
      </w:pPr>
      <w:r>
        <w:rPr>
          <w:i/>
        </w:rPr>
        <w:t xml:space="preserve">Calibration.</w:t>
      </w:r>
      <w:r>
        <w:t xml:space="preserve"> </w:t>
      </w:r>
      <w:r>
        <w:t xml:space="preserve">A flexible model can be sharper yet less reliable, so every member's probabilities are</w:t>
      </w:r>
      <w:r>
        <w:t xml:space="preserve"> </w:t>
      </w:r>
      <w:r>
        <w:rPr>
          <w:b/>
        </w:rPr>
        <w:t xml:space="preserve">recalibrated out-of-fold</w:t>
      </w:r>
      <w:r>
        <w:t xml:space="preserve">: an inner K-fold over the</w:t>
      </w:r>
      <w:r>
        <w:t xml:space="preserve"> </w:t>
      </w:r>
      <w:r>
        <w:rPr>
          <w:i/>
        </w:rPr>
        <w:t xml:space="preserve">training</w:t>
      </w:r>
      <w:r>
        <w:t xml:space="preserve"> </w:t>
      </w:r>
      <w:r>
        <w:t xml:space="preserve">years yields out-of-fold probabilities</w:t>
      </w:r>
      <w:r>
        <w:t xml:space="preserve"> </w:t>
      </w:r>
      <w:r>
        <w:t xml:space="preserve">on which an</w:t>
      </w:r>
      <w:r>
        <w:t xml:space="preserve"> </w:t>
      </w:r>
      <w:r>
        <w:rPr>
          <w:b/>
        </w:rPr>
        <w:t xml:space="preserve">isotonic</w:t>
      </w:r>
      <w:r>
        <w:t xml:space="preserve"> </w:t>
      </w:r>
      <w:r>
        <w:t xml:space="preserve">recalibration is fit (Zadrozny and Elkan 2002); the member is then refit on the</w:t>
      </w:r>
      <w:r>
        <w:t xml:space="preserve"> </w:t>
      </w:r>
      <w:r>
        <w:t xml:space="preserve">full training years and pushed through the frozen calibrator. For the severity regressors the same</w:t>
      </w:r>
      <w:r>
        <w:t xml:space="preserve"> </w:t>
      </w:r>
      <w:r>
        <w:t xml:space="preserve">mechanism supplies the</w:t>
      </w:r>
      <w:r>
        <w:t xml:space="preserve"> </w:t>
      </w:r>
      <w:r>
        <w:rPr>
          <w:rStyle w:val="VerbatimChar"/>
        </w:rPr>
        <w:t xml:space="preserve">Sev → P(EHDE)</w:t>
      </w:r>
      <w:r>
        <w:t xml:space="preserve"> </w:t>
      </w:r>
      <w:r>
        <w:t xml:space="preserve">link: an isotonic map is fit on training</w:t>
      </w:r>
      <w:r>
        <w:t xml:space="preserve"> </w:t>
      </w:r>
      <w:r>
        <w:rPr>
          <w:rStyle w:val="VerbatimChar"/>
        </w:rPr>
        <w:t xml:space="preserve">(predicted Sev, EHDE)</w:t>
      </w:r>
      <w:r>
        <w:t xml:space="preserve"> </w:t>
      </w:r>
      <w:r>
        <w:t xml:space="preserve">pairs, which is monotone by the</w:t>
      </w:r>
      <w:r>
        <w:t xml:space="preserve"> </w:t>
      </w:r>
      <w:r>
        <w:rPr>
          <w:rStyle w:val="VerbatimChar"/>
        </w:rPr>
        <w:t xml:space="preserve">Sev ≥ 0 ⇔ EHDE</w:t>
      </w:r>
      <w:r>
        <w:t xml:space="preserve"> </w:t>
      </w:r>
      <w:r>
        <w:t xml:space="preserve">construction. The headline v1 product (</w:t>
      </w:r>
      <w:r>
        <w:rPr>
          <w:rStyle w:val="VerbatimChar"/>
        </w:rPr>
        <w:t xml:space="preserve">hgb_recal</w:t>
      </w:r>
      <w:r>
        <w:t xml:space="preserve">)</w:t>
      </w:r>
      <w:r>
        <w:t xml:space="preserve"> </w:t>
      </w:r>
      <w:r>
        <w:t xml:space="preserve">is HGB with isotonic recalibration.</w:t>
      </w:r>
    </w:p>
    <w:p>
      <w:pPr>
        <w:pStyle w:val="BodyText"/>
      </w:pPr>
      <w:r>
        <w:rPr>
          <w:i/>
        </w:rPr>
        <w:t xml:space="preserve">Two-level cascade.</w:t>
      </w:r>
      <w:r>
        <w:t xml:space="preserve"> </w:t>
      </w:r>
      <w:r>
        <w:t xml:space="preserve">Motivated by the abundance of easy non-events, we test a</w:t>
      </w:r>
      <w:r>
        <w:t xml:space="preserve"> </w:t>
      </w:r>
      <w:r>
        <w:rPr>
          <w:b/>
        </w:rPr>
        <w:t xml:space="preserve">two-level cascade</w:t>
      </w:r>
      <w:r>
        <w:t xml:space="preserve">.</w:t>
      </w:r>
      <w:r>
        <w:t xml:space="preserve"> </w:t>
      </w:r>
      <w:r>
        <w:t xml:space="preserve">Level 1 (an HGB classifier trained on all training samples) screens samples it calls near-certain</w:t>
      </w:r>
      <w:r>
        <w:t xml:space="preserve"> </w:t>
      </w:r>
      <w:r>
        <w:t xml:space="preserve">non-events—</w:t>
      </w:r>
      <w:r>
        <w:rPr>
          <w:rStyle w:val="VerbatimChar"/>
        </w:rPr>
        <w:t xml:space="preserve">P(EHDE) ≤ 1 − cutoff</w:t>
      </w:r>
      <w:r>
        <w:t xml:space="preserve">, with the cutoff swept 0.90 → 0.95 → 0.99—and passes their level-1</w:t>
      </w:r>
      <w:r>
        <w:t xml:space="preserve"> </w:t>
      </w:r>
      <w:r>
        <w:t xml:space="preserve">probability straight through. Level 2 zoo models are trained only on the surviving, harder samples and</w:t>
      </w:r>
      <w:r>
        <w:t xml:space="preserve"> </w:t>
      </w:r>
      <w:r>
        <w:t xml:space="preserve">predict the survivors; the final probability is</w:t>
      </w:r>
      <w:r>
        <w:t xml:space="preserve"> </w:t>
      </w:r>
      <w:r>
        <w:rPr>
          <w:rStyle w:val="VerbatimChar"/>
        </w:rPr>
        <w:t xml:space="preserve">screened ? level-1 : level-2</w:t>
      </w:r>
      <w:r>
        <w:t xml:space="preserve">. The sweep is kept</w:t>
      </w:r>
      <w:r>
        <w:t xml:space="preserve"> </w:t>
      </w:r>
      <w:r>
        <w:t xml:space="preserve">out-of-sample. In practice the easy-negative screen proved</w:t>
      </w:r>
      <w:r>
        <w:t xml:space="preserve"> </w:t>
      </w:r>
      <w:r>
        <w:rPr>
          <w:b/>
        </w:rPr>
        <w:t xml:space="preserve">skill-neutral</w:t>
      </w:r>
      <w:r>
        <w:t xml:space="preserve"> </w:t>
      </w:r>
      <w:r>
        <w:t xml:space="preserve">(differences in the third</w:t>
      </w:r>
      <w:r>
        <w:t xml:space="preserve"> </w:t>
      </w:r>
      <w:r>
        <w:t xml:space="preserve">decimal; §4f), so members are combined at cutoff 1.0 (no screening) in the production configuration—a</w:t>
      </w:r>
      <w:r>
        <w:t xml:space="preserve"> </w:t>
      </w:r>
      <w:r>
        <w:t xml:space="preserve">reportable, if negative, methodological finding.</w:t>
      </w:r>
    </w:p>
    <w:p>
      <w:pPr>
        <w:pStyle w:val="Heading3"/>
      </w:pPr>
      <w:bookmarkStart w:id="41" w:name="g.-ensembling-stacking-and-the-vote-ensemble"/>
      <w:bookmarkEnd w:id="41"/>
      <w:r>
        <w:t xml:space="preserve">g. Ensembling: stacking and the vote ensemble</w:t>
      </w:r>
    </w:p>
    <w:p>
      <w:pPr>
        <w:pStyle w:val="FirstParagraph"/>
      </w:pPr>
      <w:r>
        <w:t xml:space="preserve">Two combinations of the zoo are formed. The first is a</w:t>
      </w:r>
      <w:r>
        <w:t xml:space="preserve"> </w:t>
      </w:r>
      <w:r>
        <w:rPr>
          <w:b/>
        </w:rPr>
        <w:t xml:space="preserve">leakage-safe stacked ensemble</w:t>
      </w:r>
      <w:r>
        <w:t xml:space="preserve"> </w:t>
      </w:r>
      <w:r>
        <w:t xml:space="preserve">(</w:t>
      </w:r>
      <w:r>
        <w:rPr>
          <w:rStyle w:val="VerbatimChar"/>
        </w:rPr>
        <w:t xml:space="preserve">ens_stack</w:t>
      </w:r>
      <w:r>
        <w:t xml:space="preserve">):</w:t>
      </w:r>
      <w:r>
        <w:t xml:space="preserve"> </w:t>
      </w:r>
      <w:r>
        <w:t xml:space="preserve">a logistic meta-learner is fit</w:t>
      </w:r>
      <w:r>
        <w:t xml:space="preserve"> </w:t>
      </w:r>
      <w:r>
        <w:rPr>
          <w:b/>
        </w:rPr>
        <w:t xml:space="preserve">leave-one-year-out</w:t>
      </w:r>
      <w:r>
        <w:t xml:space="preserve"> </w:t>
      </w:r>
      <w:r>
        <w:t xml:space="preserve">on the members' out-of-sample probabilities, so no</w:t>
      </w:r>
      <w:r>
        <w:t xml:space="preserve"> </w:t>
      </w:r>
      <w:r>
        <w:t xml:space="preserve">member's in-sample fit ever informs the stack weights; an L1-sparse variant selects members</w:t>
      </w:r>
      <w:r>
        <w:t xml:space="preserve"> </w:t>
      </w:r>
      <w:r>
        <w:t xml:space="preserve">automatically. An unweighted</w:t>
      </w:r>
      <w:r>
        <w:t xml:space="preserve"> </w:t>
      </w:r>
      <w:r>
        <w:rPr>
          <w:b/>
        </w:rPr>
        <w:t xml:space="preserve">mean</w:t>
      </w:r>
      <w:r>
        <w:t xml:space="preserve"> </w:t>
      </w:r>
      <w:r>
        <w:t xml:space="preserve">(</w:t>
      </w:r>
      <w:r>
        <w:rPr>
          <w:rStyle w:val="VerbatimChar"/>
        </w:rPr>
        <w:t xml:space="preserve">ens_mean</w:t>
      </w:r>
      <w:r>
        <w:t xml:space="preserve">) is carried as a reference. The second is a</w:t>
      </w:r>
      <w:r>
        <w:t xml:space="preserve"> </w:t>
      </w:r>
      <w:r>
        <w:t xml:space="preserve">transparent</w:t>
      </w:r>
      <w:r>
        <w:t xml:space="preserve"> </w:t>
      </w:r>
      <w:r>
        <w:rPr>
          <w:b/>
        </w:rPr>
        <w:t xml:space="preserve">23-member vote ensemble</w:t>
      </w:r>
      <w:r>
        <w:t xml:space="preserve"> </w:t>
      </w:r>
      <w:r>
        <w:t xml:space="preserve">intended for operational interpretability: seven scikit-learn</w:t>
      </w:r>
      <w:r>
        <w:t xml:space="preserve"> </w:t>
      </w:r>
      <w:r>
        <w:t xml:space="preserve">families × three cascade cutoffs, plus the CNN and deep ANN, each cast a binary vote for EHDE via its</w:t>
      </w:r>
      <w:r>
        <w:t xml:space="preserve"> </w:t>
      </w:r>
      <w:r>
        <w:t xml:space="preserve">own leakage-safe per-region×block threshold; the issued probability is the</w:t>
      </w:r>
      <w:r>
        <w:t xml:space="preserve"> </w:t>
      </w:r>
      <w:r>
        <w:rPr>
          <w:b/>
        </w:rPr>
        <w:t xml:space="preserve">vote fraction</w:t>
      </w:r>
      <w:r>
        <w:t xml:space="preserve"> </w:t>
      </w:r>
      <w:r>
        <w:rPr>
          <w:rStyle w:val="VerbatimChar"/>
        </w:rPr>
        <w:t xml:space="preserve">m/23</w:t>
      </w:r>
      <w:r>
        <w:t xml:space="preserve">,</w:t>
      </w:r>
      <w:r>
        <w:t xml:space="preserve"> </w:t>
      </w:r>
      <w:r>
        <w:t xml:space="preserve">and the deterministic flag fires above a per-fold Peirce-optimal</w:t>
      </w:r>
      <w:r>
        <w:t xml:space="preserve"> </w:t>
      </w:r>
      <w:r>
        <w:rPr>
          <w:rStyle w:val="VerbatimChar"/>
        </w:rPr>
        <w:t xml:space="preserve">P₀</w:t>
      </w:r>
      <w:r>
        <w:t xml:space="preserve">. Aggregating the flags to a</w:t>
      </w:r>
      <w:r>
        <w:t xml:space="preserve"> </w:t>
      </w:r>
      <w:r>
        <w:rPr>
          <w:b/>
        </w:rPr>
        <w:t xml:space="preserve">region×week event</w:t>
      </w:r>
      <w:r>
        <w:t xml:space="preserve">—alerting a region when the fraction of its cells voted EHD exceeds a coverage</w:t>
      </w:r>
      <w:r>
        <w:t xml:space="preserve"> </w:t>
      </w:r>
      <w:r>
        <w:t xml:space="preserve">threshold—yields the most operationally robust product (§4h).</w:t>
      </w:r>
    </w:p>
    <w:p>
      <w:pPr>
        <w:pStyle w:val="Heading3"/>
      </w:pPr>
      <w:bookmarkStart w:id="42" w:name="h.-cross-validation-and-the-leakage-rule"/>
      <w:bookmarkEnd w:id="42"/>
      <w:r>
        <w:t xml:space="preserve">h. Cross-validation and the leakage rule</w:t>
      </w:r>
    </w:p>
    <w:p>
      <w:pPr>
        <w:pStyle w:val="FirstParagraph"/>
      </w:pPr>
      <w:r>
        <w:t xml:space="preserve">All skill is estimated by</w:t>
      </w:r>
      <w:r>
        <w:t xml:space="preserve"> </w:t>
      </w:r>
      <w:r>
        <w:rPr>
          <w:b/>
        </w:rPr>
        <w:t xml:space="preserve">leave-one-year-out (LOYO)</w:t>
      </w:r>
      <w:r>
        <w:t xml:space="preserve"> </w:t>
      </w:r>
      <w:r>
        <w:t xml:space="preserve">over 2003–2022 with hyperparameter selection</w:t>
      </w:r>
      <w:r>
        <w:t xml:space="preserve"> </w:t>
      </w:r>
      <w:r>
        <w:rPr>
          <w:b/>
        </w:rPr>
        <w:t xml:space="preserve">nested</w:t>
      </w:r>
      <w:r>
        <w:t xml:space="preserve"> </w:t>
      </w:r>
      <w:r>
        <w:t xml:space="preserve">inside each fold. For a held-out year</w:t>
      </w:r>
      <w:r>
        <w:t xml:space="preserve"> </w:t>
      </w:r>
      <w:r>
        <w:rPr>
          <w:i/>
        </w:rPr>
        <w:t xml:space="preserve">y</w:t>
      </w:r>
      <w:r>
        <w:t xml:space="preserve">, none of the following may use data from</w:t>
      </w:r>
      <w:r>
        <w:t xml:space="preserve"> </w:t>
      </w:r>
      <w:r>
        <w:rPr>
          <w:i/>
        </w:rPr>
        <w:t xml:space="preserve">y</w:t>
      </w:r>
      <w:r>
        <w:t xml:space="preserve">:</w:t>
      </w:r>
      <w:r>
        <w:t xml:space="preserve"> </w:t>
      </w:r>
      <w:r>
        <w:t xml:space="preserve">(1) the observed climatology and the</w:t>
      </w:r>
      <w:r>
        <w:t xml:space="preserve"> </w:t>
      </w:r>
      <w:r>
        <w:rPr>
          <w:rStyle w:val="VerbatimChar"/>
        </w:rPr>
        <w:t xml:space="preserve">Tx90p</w:t>
      </w:r>
      <w:r>
        <w:t xml:space="preserve"> </w:t>
      </w:r>
      <w:r>
        <w:t xml:space="preserve">threshold; (2) the calibration model and its</w:t>
      </w:r>
      <w:r>
        <w:t xml:space="preserve"> </w:t>
      </w:r>
      <w:r>
        <w:t xml:space="preserve">hyperparameters; (3) the probability recalibration; and (4) the per-region×block decision threshold.</w:t>
      </w:r>
      <w:r>
        <w:t xml:space="preserve"> </w:t>
      </w:r>
      <w:r>
        <w:t xml:space="preserve">Each stage records the years it was fit on, and a verification stage</w:t>
      </w:r>
      <w:r>
        <w:t xml:space="preserve"> </w:t>
      </w:r>
      <w:r>
        <w:rPr>
          <w:b/>
        </w:rPr>
        <w:t xml:space="preserve">asserts</w:t>
      </w:r>
      <w:r>
        <w:t xml:space="preserve"> </w:t>
      </w:r>
      <w:r>
        <w:t xml:space="preserve">the held-out year is</w:t>
      </w:r>
      <w:r>
        <w:t xml:space="preserve"> </w:t>
      </w:r>
      <w:r>
        <w:t xml:space="preserve">absent from every fit-year set before scoring—a threshold or climatology fit on data used for</w:t>
      </w:r>
      <w:r>
        <w:t xml:space="preserve"> </w:t>
      </w:r>
      <w:r>
        <w:t xml:space="preserve">verification is treated as a failed deliverable, not a rounding issue. A separate all-years refit is</w:t>
      </w:r>
      <w:r>
        <w:t xml:space="preserve"> </w:t>
      </w:r>
      <w:r>
        <w:t xml:space="preserve">used for operational deployment, but the</w:t>
      </w:r>
      <w:r>
        <w:t xml:space="preserve"> </w:t>
      </w:r>
      <w:r>
        <w:rPr>
          <w:i/>
        </w:rPr>
        <w:t xml:space="preserve">honest</w:t>
      </w:r>
      <w:r>
        <w:t xml:space="preserve"> </w:t>
      </w:r>
      <w:r>
        <w:t xml:space="preserve">skill is always the LOYO estimate, never the</w:t>
      </w:r>
      <w:r>
        <w:t xml:space="preserve"> </w:t>
      </w:r>
      <w:r>
        <w:t xml:space="preserve">in-sample fit. As an integrity check, an</w:t>
      </w:r>
      <w:r>
        <w:t xml:space="preserve"> </w:t>
      </w:r>
      <w:r>
        <w:rPr>
          <w:b/>
        </w:rPr>
        <w:t xml:space="preserve">independent validator</w:t>
      </w:r>
      <w:r>
        <w:t xml:space="preserve"> </w:t>
      </w:r>
      <w:r>
        <w:t xml:space="preserve">re-derives the headline per-block</w:t>
      </w:r>
      <w:r>
        <w:t xml:space="preserve"> </w:t>
      </w:r>
      <w:r>
        <w:t xml:space="preserve">Brier score, BSS, AUC, and bootstrap confidence intervals from the raw prediction files in plain NumPy,</w:t>
      </w:r>
      <w:r>
        <w:t xml:space="preserve"> </w:t>
      </w:r>
      <w:r>
        <w:t xml:space="preserve">without reusing the main verification code, and confirms agreement (PASS).</w:t>
      </w:r>
    </w:p>
    <w:p>
      <w:pPr>
        <w:pStyle w:val="Heading3"/>
      </w:pPr>
      <w:bookmarkStart w:id="43" w:name="i.-verification-metrics-and-significance"/>
      <w:bookmarkEnd w:id="43"/>
      <w:r>
        <w:t xml:space="preserve">i. Verification metrics and significance</w:t>
      </w:r>
    </w:p>
    <w:p>
      <w:pPr>
        <w:pStyle w:val="FirstParagraph"/>
      </w:pPr>
      <w:r>
        <w:t xml:space="preserve">Forecasts are scored against</w:t>
      </w:r>
      <w:r>
        <w:t xml:space="preserve"> </w:t>
      </w:r>
      <w:r>
        <w:rPr>
          <w:b/>
        </w:rPr>
        <w:t xml:space="preserve">both</w:t>
      </w:r>
      <w:r>
        <w:t xml:space="preserve"> </w:t>
      </w:r>
      <w:r>
        <w:t xml:space="preserve">references (climatology and the raw forecast). Probabilistic</w:t>
      </w:r>
      <w:r>
        <w:t xml:space="preserve"> </w:t>
      </w:r>
      <w:r>
        <w:t xml:space="preserve">metrics: the</w:t>
      </w:r>
      <w:r>
        <w:t xml:space="preserve"> </w:t>
      </w:r>
      <w:r>
        <w:rPr>
          <w:b/>
        </w:rPr>
        <w:t xml:space="preserve">Brier score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Brier skill score</w:t>
      </w:r>
      <w:r>
        <w:t xml:space="preserve"> </w:t>
      </w:r>
      <w:r>
        <w:t xml:space="preserve">with its reliability/resolution decomposition</w:t>
      </w:r>
      <w:r>
        <w:t xml:space="preserve"> </w:t>
      </w:r>
      <w:r>
        <w:t xml:space="preserve">(Brier 1950; Murphy 1973), reliability curves, ROC/AUC, and sharpness. Binary metrics at the decision</w:t>
      </w:r>
      <w:r>
        <w:t xml:space="preserve"> </w:t>
      </w:r>
      <w:r>
        <w:t xml:space="preserve">threshold: the full ten-score inventory—probability of detection (POD), probability of false detection</w:t>
      </w:r>
      <w:r>
        <w:t xml:space="preserve"> </w:t>
      </w:r>
      <w:r>
        <w:t xml:space="preserve">(POFD), false-alarm ratio (FAR), critical success index (CSI), equitable threat score (ETS), Heidke</w:t>
      </w:r>
      <w:r>
        <w:t xml:space="preserve"> </w:t>
      </w:r>
      <w:r>
        <w:t xml:space="preserve">skill score (HSS), Peirce skill score, and the extremal-dependence indices EDI and SEDI (Ferro and</w:t>
      </w:r>
      <w:r>
        <w:t xml:space="preserve"> </w:t>
      </w:r>
      <w:r>
        <w:t xml:space="preserve">Stephenson 2011)—together with frequency bias. Because EHDE is extremal, EDI/SEDI are the primary</w:t>
      </w:r>
      <w:r>
        <w:t xml:space="preserve"> </w:t>
      </w:r>
      <w:r>
        <w:t xml:space="preserve">discrimination metrics, as ordinary skill scores degrade towards triviality as the base rate falls.</w:t>
      </w:r>
      <w:r>
        <w:t xml:space="preserve"> </w:t>
      </w:r>
      <w:r>
        <w:t xml:space="preserve">Scores are stratified by lead block, region, initialisation season, and climatological severity.</w:t>
      </w:r>
      <w:r>
        <w:t xml:space="preserve"> </w:t>
      </w:r>
      <w:r>
        <w:t xml:space="preserve">Significance uses a</w:t>
      </w:r>
      <w:r>
        <w:t xml:space="preserve"> </w:t>
      </w:r>
      <w:r>
        <w:rPr>
          <w:b/>
        </w:rPr>
        <w:t xml:space="preserve">whole-year block bootstrap</w:t>
      </w:r>
      <w:r>
        <w:t xml:space="preserve"> </w:t>
      </w:r>
      <w:r>
        <w:t xml:space="preserve">(resampling entire years to preserve serial</w:t>
      </w:r>
      <w:r>
        <w:t xml:space="preserve"> </w:t>
      </w:r>
      <w:r>
        <w:t xml:space="preserve">correlation); field significance across the 541 cells is controlled with the Benjamini–Hochberg</w:t>
      </w:r>
      <w:r>
        <w:t xml:space="preserve"> </w:t>
      </w:r>
      <w:r>
        <w:rPr>
          <w:b/>
        </w:rPr>
        <w:t xml:space="preserve">false-discovery-rate (FDR)</w:t>
      </w:r>
      <w:r>
        <w:t xml:space="preserve"> </w:t>
      </w:r>
      <w:r>
        <w:t xml:space="preserve">procedure at</w:t>
      </w:r>
      <w:r>
        <w:t xml:space="preserve"> </w:t>
      </w:r>
      <w:r>
        <w:rPr>
          <w:rStyle w:val="VerbatimChar"/>
        </w:rPr>
        <w:t xml:space="preserve">q = 0.05</w:t>
      </w:r>
      <w:r>
        <w:t xml:space="preserve"> </w:t>
      </w:r>
      <w:r>
        <w:t xml:space="preserve">(Benjamini and Hochberg 1995). Rank-histogram and</w:t>
      </w:r>
      <w:r>
        <w:t xml:space="preserve"> </w:t>
      </w:r>
      <w:r>
        <w:t xml:space="preserve">spread–error diagnostics are not applicable to a single member and are reported as such.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results"/>
      <w:bookmarkEnd w:id="44"/>
      <w:r>
        <w:t xml:space="preserve">4. Results</w:t>
      </w:r>
    </w:p>
    <w:p>
      <w:pPr>
        <w:pStyle w:val="Heading3"/>
      </w:pPr>
      <w:bookmarkStart w:id="45" w:name="a.-headline-cross-validated-skill-primary-predictand"/>
      <w:bookmarkEnd w:id="45"/>
      <w:r>
        <w:t xml:space="preserve">a. Headline cross-validated skill (primary predictand)</w:t>
      </w:r>
    </w:p>
    <w:p>
      <w:pPr>
        <w:pStyle w:val="FirstParagraph"/>
      </w:pPr>
      <w:r>
        <w:t xml:space="preserve">Pooled over all 20 held-out folds (~1.12 M out-of-sample forecasts per block) and scored against a</w:t>
      </w:r>
      <w:r>
        <w:t xml:space="preserve"> </w:t>
      </w:r>
      <w:r>
        <w:t xml:space="preserve">per-fold base-rate climatology, the calibrated</w:t>
      </w:r>
      <w:r>
        <w:t xml:space="preserve"> </w:t>
      </w:r>
      <w:r>
        <w:rPr>
          <w:rStyle w:val="VerbatimChar"/>
        </w:rPr>
        <w:t xml:space="preserve">hgb_recal</w:t>
      </w:r>
      <w:r>
        <w:t xml:space="preserve"> </w:t>
      </w:r>
      <w:r>
        <w:t xml:space="preserve">product has significant Brier skill to W3</w:t>
      </w:r>
      <w:r>
        <w:t xml:space="preserve"> </w:t>
      </w:r>
      <w:r>
        <w:t xml:space="preserve">and none beyond on the national-pooled average (Table 4). Discrimination (AUC) stays above 0.5 at all</w:t>
      </w:r>
      <w:r>
        <w:t xml:space="preserve"> </w:t>
      </w:r>
      <w:r>
        <w:t xml:space="preserve">leads, but calibrated Brier skill reaches zero by W4. Calibration always beats the raw forecast (BSS vs</w:t>
      </w:r>
      <w:r>
        <w:t xml:space="preserve"> </w:t>
      </w:r>
      <w:r>
        <w:t xml:space="preserve">raw +0.28 to +0.52), because the raw block-exceedance probability is badly miscalibrated—the central</w:t>
      </w:r>
      <w:r>
        <w:t xml:space="preserve"> </w:t>
      </w:r>
      <w:r>
        <w:t xml:space="preserve">empirical justification for MOS in this single-member setting.</w:t>
      </w:r>
    </w:p>
    <w:p>
      <w:pPr>
        <w:pStyle w:val="BodyText"/>
      </w:pPr>
      <w:r>
        <w:rPr>
          <w:b/>
        </w:rPr>
        <w:t xml:space="preserve">Table 4.</w:t>
      </w:r>
      <w:r>
        <w:t xml:space="preserve"> </w:t>
      </w:r>
      <w:r>
        <w:t xml:space="preserve">Headline LOYO skill, primary predictand (EHDE),</w:t>
      </w:r>
      <w:r>
        <w:t xml:space="preserve"> </w:t>
      </w:r>
      <w:r>
        <w:rPr>
          <w:rStyle w:val="VerbatimChar"/>
        </w:rPr>
        <w:t xml:space="preserve">hgb_recal</w:t>
      </w:r>
      <w:r>
        <w:t xml:space="preserve">. 95 % CI from whole-year block</w:t>
      </w:r>
      <w:r>
        <w:t xml:space="preserve"> </w:t>
      </w:r>
      <w:r>
        <w:t xml:space="preserve">bootstrap.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 rate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BSS vs clim [95 % CI]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AUC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BSS vs raw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significant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0–10</w:t>
            </w:r>
          </w:p>
        </w:tc>
        <w:tc>
          <w:p>
            <w:pPr>
              <w:pStyle w:val="Compact"/>
              <w:jc w:val="left"/>
            </w:pPr>
            <w:r>
              <w:t xml:space="preserve">0.431</w:t>
            </w:r>
          </w:p>
        </w:tc>
        <w:tc>
          <w:p>
            <w:pPr>
              <w:pStyle w:val="Compact"/>
              <w:jc w:val="left"/>
            </w:pPr>
            <w:r>
              <w:t xml:space="preserve">0.356 [0.332, 0.383]</w:t>
            </w:r>
          </w:p>
        </w:tc>
        <w:tc>
          <w:p>
            <w:pPr>
              <w:pStyle w:val="Compact"/>
              <w:jc w:val="left"/>
            </w:pPr>
            <w:r>
              <w:t xml:space="preserve">0.845</w:t>
            </w:r>
          </w:p>
        </w:tc>
        <w:tc>
          <w:p>
            <w:pPr>
              <w:pStyle w:val="Compact"/>
              <w:jc w:val="left"/>
            </w:pPr>
            <w:r>
              <w:t xml:space="preserve">0.517</w:t>
            </w:r>
          </w:p>
        </w:tc>
        <w:tc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11–17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0.118 [0.092, 0.144]</w:t>
            </w:r>
          </w:p>
        </w:tc>
        <w:tc>
          <w:p>
            <w:pPr>
              <w:pStyle w:val="Compact"/>
              <w:jc w:val="left"/>
            </w:pPr>
            <w:r>
              <w:t xml:space="preserve">0.710</w:t>
            </w:r>
          </w:p>
        </w:tc>
        <w:tc>
          <w:p>
            <w:pPr>
              <w:pStyle w:val="Compact"/>
              <w:jc w:val="left"/>
            </w:pPr>
            <w:r>
              <w:t xml:space="preserve">0.310</w:t>
            </w:r>
          </w:p>
        </w:tc>
        <w:tc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18–24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0.037 [0.009, 0.063]</w:t>
            </w:r>
          </w:p>
        </w:tc>
        <w:tc>
          <w:p>
            <w:pPr>
              <w:pStyle w:val="Compact"/>
              <w:jc w:val="left"/>
            </w:pPr>
            <w:r>
              <w:t xml:space="preserve">0.630</w:t>
            </w:r>
          </w:p>
        </w:tc>
        <w:tc>
          <w:p>
            <w:pPr>
              <w:pStyle w:val="Compact"/>
              <w:jc w:val="left"/>
            </w:pPr>
            <w:r>
              <w:t xml:space="preserve">0.288</w:t>
            </w:r>
          </w:p>
        </w:tc>
        <w:tc>
          <w:p>
            <w:pPr>
              <w:pStyle w:val="Compact"/>
              <w:jc w:val="left"/>
            </w:pPr>
            <w:r>
              <w:t xml:space="preserve">yes (marginal)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25–31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0.014 [−0.012, 0.039]</w:t>
            </w:r>
          </w:p>
        </w:tc>
        <w:tc>
          <w:p>
            <w:pPr>
              <w:pStyle w:val="Compact"/>
              <w:jc w:val="left"/>
            </w:pPr>
            <w:r>
              <w:t xml:space="preserve">0.603</w:t>
            </w:r>
          </w:p>
        </w:tc>
        <w:tc>
          <w:p>
            <w:pPr>
              <w:pStyle w:val="Compact"/>
              <w:jc w:val="left"/>
            </w:pPr>
            <w:r>
              <w:t xml:space="preserve">0.281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32–38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0.004 [−0.021, 0.027]</w:t>
            </w:r>
          </w:p>
        </w:tc>
        <w:tc>
          <w:p>
            <w:pPr>
              <w:pStyle w:val="Compact"/>
              <w:jc w:val="left"/>
            </w:pPr>
            <w:r>
              <w:t xml:space="preserve">0.591</w:t>
            </w:r>
          </w:p>
        </w:tc>
        <w:tc>
          <w:p>
            <w:pPr>
              <w:pStyle w:val="Compact"/>
              <w:jc w:val="left"/>
            </w:pPr>
            <w:r>
              <w:t xml:space="preserve">0.280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39–45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−0.006 [−0.028, 0.018]</w:t>
            </w:r>
          </w:p>
        </w:tc>
        <w:tc>
          <w:p>
            <w:pPr>
              <w:pStyle w:val="Compact"/>
              <w:jc w:val="left"/>
            </w:pPr>
            <w:r>
              <w:t xml:space="preserve">0.579</w:t>
            </w:r>
          </w:p>
        </w:tc>
        <w:tc>
          <w:p>
            <w:pPr>
              <w:pStyle w:val="Compact"/>
              <w:jc w:val="left"/>
            </w:pPr>
            <w:r>
              <w:t xml:space="preserve">0.278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</w:p>
        </w:tc>
      </w:tr>
    </w:tbl>
    <w:p>
      <w:pPr>
        <w:pStyle w:val="Heading3"/>
      </w:pPr>
      <w:bookmarkStart w:id="46" w:name="b.-binary-contingency-inventory"/>
      <w:bookmarkEnd w:id="46"/>
      <w:r>
        <w:t xml:space="preserve">b. Binary contingency inventory</w:t>
      </w:r>
    </w:p>
    <w:p>
      <w:pPr>
        <w:pStyle w:val="FirstParagraph"/>
      </w:pPr>
      <w:r>
        <w:t xml:space="preserve">At the operational per-region×block decision threshold, the full ten-score binary inventory for</w:t>
      </w:r>
      <w:r>
        <w:t xml:space="preserve"> </w:t>
      </w:r>
      <w:r>
        <w:rPr>
          <w:rStyle w:val="VerbatimChar"/>
        </w:rPr>
        <w:t xml:space="preserve">hgb_recal</w:t>
      </w:r>
      <w:r>
        <w:t xml:space="preserve"> </w:t>
      </w:r>
      <w:r>
        <w:t xml:space="preserve">decays monotonically with lead, and the frequency bias grows past 1 at long lead</w:t>
      </w:r>
      <w:r>
        <w:t xml:space="preserve"> </w:t>
      </w:r>
      <w:r>
        <w:t xml:space="preserve">(over-forecasting), consistent with the BSS collapse (Table 5). The extremal indices EDI/SEDI—the</w:t>
      </w:r>
      <w:r>
        <w:t xml:space="preserve"> </w:t>
      </w:r>
      <w:r>
        <w:t xml:space="preserve">appropriate discrimination metrics for this rare event—fall from ~0.68 at W1 to ~0.15 at W6.</w:t>
      </w:r>
    </w:p>
    <w:p>
      <w:pPr>
        <w:pStyle w:val="BodyText"/>
      </w:pPr>
      <w:r>
        <w:rPr>
          <w:b/>
        </w:rPr>
        <w:t xml:space="preserve">Table 5.</w:t>
      </w:r>
      <w:r>
        <w:t xml:space="preserve"> </w:t>
      </w:r>
      <w:r>
        <w:t xml:space="preserve">Pooled binary inventory by block,</w:t>
      </w:r>
      <w:r>
        <w:t xml:space="preserve"> </w:t>
      </w:r>
      <w:r>
        <w:rPr>
          <w:rStyle w:val="VerbatimChar"/>
        </w:rPr>
        <w:t xml:space="preserve">hgb_recal</w:t>
      </w:r>
      <w:r>
        <w:t xml:space="preserve">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POFD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FAR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CSI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ETS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Peirce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EDI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SEDI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freq bias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0.431</w:t>
            </w:r>
          </w:p>
        </w:tc>
        <w:tc>
          <w:p>
            <w:pPr>
              <w:pStyle w:val="Compact"/>
              <w:jc w:val="left"/>
            </w:pPr>
            <w:r>
              <w:t xml:space="preserve">0.761</w:t>
            </w:r>
          </w:p>
        </w:tc>
        <w:tc>
          <w:p>
            <w:pPr>
              <w:pStyle w:val="Compact"/>
              <w:jc w:val="left"/>
            </w:pPr>
            <w:r>
              <w:t xml:space="preserve">0.237</w:t>
            </w:r>
          </w:p>
        </w:tc>
        <w:tc>
          <w:p>
            <w:pPr>
              <w:pStyle w:val="Compact"/>
              <w:jc w:val="left"/>
            </w:pPr>
            <w:r>
              <w:t xml:space="preserve">0.291</w:t>
            </w:r>
          </w:p>
        </w:tc>
        <w:tc>
          <w:p>
            <w:pPr>
              <w:pStyle w:val="Compact"/>
              <w:jc w:val="left"/>
            </w:pPr>
            <w:r>
              <w:t xml:space="preserve">0.580</w:t>
            </w:r>
          </w:p>
        </w:tc>
        <w:tc>
          <w:p>
            <w:pPr>
              <w:pStyle w:val="Compact"/>
              <w:jc w:val="left"/>
            </w:pPr>
            <w:r>
              <w:t xml:space="preserve">0.351</w:t>
            </w:r>
          </w:p>
        </w:tc>
        <w:tc>
          <w:p>
            <w:pPr>
              <w:pStyle w:val="Compact"/>
              <w:jc w:val="left"/>
            </w:pPr>
            <w:r>
              <w:t xml:space="preserve">0.520</w:t>
            </w:r>
          </w:p>
        </w:tc>
        <w:tc>
          <w:p>
            <w:pPr>
              <w:pStyle w:val="Compact"/>
              <w:jc w:val="left"/>
            </w:pPr>
            <w:r>
              <w:t xml:space="preserve">0.524</w:t>
            </w:r>
          </w:p>
        </w:tc>
        <w:tc>
          <w:p>
            <w:pPr>
              <w:pStyle w:val="Compact"/>
              <w:jc w:val="left"/>
            </w:pPr>
            <w:r>
              <w:t xml:space="preserve">0.682</w:t>
            </w:r>
          </w:p>
        </w:tc>
        <w:tc>
          <w:p>
            <w:pPr>
              <w:pStyle w:val="Compact"/>
              <w:jc w:val="left"/>
            </w:pPr>
            <w:r>
              <w:t xml:space="preserve">0.682</w:t>
            </w:r>
          </w:p>
        </w:tc>
        <w:tc>
          <w:p>
            <w:pPr>
              <w:pStyle w:val="Compact"/>
              <w:jc w:val="left"/>
            </w:pPr>
            <w:r>
              <w:t xml:space="preserve">1.07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0.644</w:t>
            </w:r>
          </w:p>
        </w:tc>
        <w:tc>
          <w:p>
            <w:pPr>
              <w:pStyle w:val="Compact"/>
              <w:jc w:val="left"/>
            </w:pPr>
            <w:r>
              <w:t xml:space="preserve">0.345</w:t>
            </w:r>
          </w:p>
        </w:tc>
        <w:tc>
          <w:p>
            <w:pPr>
              <w:pStyle w:val="Compact"/>
              <w:jc w:val="left"/>
            </w:pPr>
            <w:r>
              <w:t xml:space="preserve">0.520</w:t>
            </w:r>
          </w:p>
        </w:tc>
        <w:tc>
          <w:p>
            <w:pPr>
              <w:pStyle w:val="Compact"/>
              <w:jc w:val="left"/>
            </w:pPr>
            <w:r>
              <w:t xml:space="preserve">0.379</w:t>
            </w:r>
          </w:p>
        </w:tc>
        <w:tc>
          <w:p>
            <w:pPr>
              <w:pStyle w:val="Compact"/>
              <w:jc w:val="left"/>
            </w:pPr>
            <w:r>
              <w:t xml:space="preserve">0.160</w:t>
            </w:r>
          </w:p>
        </w:tc>
        <w:tc>
          <w:p>
            <w:pPr>
              <w:pStyle w:val="Compact"/>
              <w:jc w:val="left"/>
            </w:pPr>
            <w:r>
              <w:t xml:space="preserve">0.275</w:t>
            </w:r>
          </w:p>
        </w:tc>
        <w:tc>
          <w:p>
            <w:pPr>
              <w:pStyle w:val="Compact"/>
              <w:jc w:val="left"/>
            </w:pPr>
            <w:r>
              <w:t xml:space="preserve">0.299</w:t>
            </w:r>
          </w:p>
        </w:tc>
        <w:tc>
          <w:p>
            <w:pPr>
              <w:pStyle w:val="Compact"/>
              <w:jc w:val="left"/>
            </w:pPr>
            <w:r>
              <w:t xml:space="preserve">0.415</w:t>
            </w:r>
          </w:p>
        </w:tc>
        <w:tc>
          <w:p>
            <w:pPr>
              <w:pStyle w:val="Compact"/>
              <w:jc w:val="left"/>
            </w:pPr>
            <w:r>
              <w:t xml:space="preserve">0.417</w:t>
            </w:r>
          </w:p>
        </w:tc>
        <w:tc>
          <w:p>
            <w:pPr>
              <w:pStyle w:val="Compact"/>
              <w:jc w:val="left"/>
            </w:pPr>
            <w:r>
              <w:t xml:space="preserve">1.34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0.583</w:t>
            </w:r>
          </w:p>
        </w:tc>
        <w:tc>
          <w:p>
            <w:pPr>
              <w:pStyle w:val="Compact"/>
              <w:jc w:val="left"/>
            </w:pPr>
            <w:r>
              <w:t xml:space="preserve">0.402</w:t>
            </w:r>
          </w:p>
        </w:tc>
        <w:tc>
          <w:p>
            <w:pPr>
              <w:pStyle w:val="Compact"/>
              <w:jc w:val="left"/>
            </w:pPr>
            <w:r>
              <w:t xml:space="preserve">0.582</w:t>
            </w:r>
          </w:p>
        </w:tc>
        <w:tc>
          <w:p>
            <w:pPr>
              <w:pStyle w:val="Compact"/>
              <w:jc w:val="left"/>
            </w:pPr>
            <w:r>
              <w:t xml:space="preserve">0.322</w:t>
            </w:r>
          </w:p>
        </w:tc>
        <w:tc>
          <w:p>
            <w:pPr>
              <w:pStyle w:val="Compact"/>
              <w:jc w:val="left"/>
            </w:pPr>
            <w:r>
              <w:t xml:space="preserve">0.090</w:t>
            </w:r>
          </w:p>
        </w:tc>
        <w:tc>
          <w:p>
            <w:pPr>
              <w:pStyle w:val="Compact"/>
              <w:jc w:val="left"/>
            </w:pPr>
            <w:r>
              <w:t xml:space="preserve">0.165</w:t>
            </w:r>
          </w:p>
        </w:tc>
        <w:tc>
          <w:p>
            <w:pPr>
              <w:pStyle w:val="Compact"/>
              <w:jc w:val="left"/>
            </w:pPr>
            <w:r>
              <w:t xml:space="preserve">0.181</w:t>
            </w:r>
          </w:p>
        </w:tc>
        <w:tc>
          <w:p>
            <w:pPr>
              <w:pStyle w:val="Compact"/>
              <w:jc w:val="left"/>
            </w:pPr>
            <w:r>
              <w:t xml:space="preserve">0.257</w:t>
            </w:r>
          </w:p>
        </w:tc>
        <w:tc>
          <w:p>
            <w:pPr>
              <w:pStyle w:val="Compact"/>
              <w:jc w:val="left"/>
            </w:pPr>
            <w:r>
              <w:t xml:space="preserve">0.259</w:t>
            </w:r>
          </w:p>
        </w:tc>
        <w:tc>
          <w:p>
            <w:pPr>
              <w:pStyle w:val="Compact"/>
              <w:jc w:val="left"/>
            </w:pPr>
            <w:r>
              <w:t xml:space="preserve">1.39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0.557</w:t>
            </w:r>
          </w:p>
        </w:tc>
        <w:tc>
          <w:p>
            <w:pPr>
              <w:pStyle w:val="Compact"/>
              <w:jc w:val="left"/>
            </w:pPr>
            <w:r>
              <w:t xml:space="preserve">0.414</w:t>
            </w:r>
          </w:p>
        </w:tc>
        <w:tc>
          <w:p>
            <w:pPr>
              <w:pStyle w:val="Compact"/>
              <w:jc w:val="left"/>
            </w:pPr>
            <w:r>
              <w:t xml:space="preserve">0.600</w:t>
            </w:r>
          </w:p>
        </w:tc>
        <w:tc>
          <w:p>
            <w:pPr>
              <w:pStyle w:val="Compact"/>
              <w:jc w:val="left"/>
            </w:pPr>
            <w:r>
              <w:t xml:space="preserve">0.303</w:t>
            </w:r>
          </w:p>
        </w:tc>
        <w:tc>
          <w:p>
            <w:pPr>
              <w:pStyle w:val="Compact"/>
              <w:jc w:val="left"/>
            </w:pPr>
            <w:r>
              <w:t xml:space="preserve">0.070</w:t>
            </w:r>
          </w:p>
        </w:tc>
        <w:tc>
          <w:p>
            <w:pPr>
              <w:pStyle w:val="Compact"/>
              <w:jc w:val="left"/>
            </w:pPr>
            <w:r>
              <w:t xml:space="preserve">0.130</w:t>
            </w:r>
          </w:p>
        </w:tc>
        <w:tc>
          <w:p>
            <w:pPr>
              <w:pStyle w:val="Compact"/>
              <w:jc w:val="left"/>
            </w:pPr>
            <w:r>
              <w:t xml:space="preserve">0.143</w:t>
            </w:r>
          </w:p>
        </w:tc>
        <w:tc>
          <w:p>
            <w:pPr>
              <w:pStyle w:val="Compact"/>
              <w:jc w:val="left"/>
            </w:pPr>
            <w:r>
              <w:t xml:space="preserve">0.203</w:t>
            </w:r>
          </w:p>
        </w:tc>
        <w:tc>
          <w:p>
            <w:pPr>
              <w:pStyle w:val="Compact"/>
              <w:jc w:val="left"/>
            </w:pPr>
            <w:r>
              <w:t xml:space="preserve">0.205</w:t>
            </w:r>
          </w:p>
        </w:tc>
        <w:tc>
          <w:p>
            <w:pPr>
              <w:pStyle w:val="Compact"/>
              <w:jc w:val="left"/>
            </w:pPr>
            <w:r>
              <w:t xml:space="preserve">1.39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0.549</w:t>
            </w:r>
          </w:p>
        </w:tc>
        <w:tc>
          <w:p>
            <w:pPr>
              <w:pStyle w:val="Compact"/>
              <w:jc w:val="left"/>
            </w:pPr>
            <w:r>
              <w:t xml:space="preserve">0.428</w:t>
            </w:r>
          </w:p>
        </w:tc>
        <w:tc>
          <w:p>
            <w:pPr>
              <w:pStyle w:val="Compact"/>
              <w:jc w:val="left"/>
            </w:pPr>
            <w:r>
              <w:t xml:space="preserve">0.612</w:t>
            </w:r>
          </w:p>
        </w:tc>
        <w:tc>
          <w:p>
            <w:pPr>
              <w:pStyle w:val="Compact"/>
              <w:jc w:val="left"/>
            </w:pPr>
            <w:r>
              <w:t xml:space="preserve">0.294</w:t>
            </w:r>
          </w:p>
        </w:tc>
        <w:tc>
          <w:p>
            <w:pPr>
              <w:pStyle w:val="Compact"/>
              <w:jc w:val="left"/>
            </w:pPr>
            <w:r>
              <w:t xml:space="preserve">0.058</w:t>
            </w:r>
          </w:p>
        </w:tc>
        <w:tc>
          <w:p>
            <w:pPr>
              <w:pStyle w:val="Compact"/>
              <w:jc w:val="left"/>
            </w:pPr>
            <w:r>
              <w:t xml:space="preserve">0.109</w:t>
            </w:r>
          </w:p>
        </w:tc>
        <w:tc>
          <w:p>
            <w:pPr>
              <w:pStyle w:val="Compact"/>
              <w:jc w:val="left"/>
            </w:pPr>
            <w:r>
              <w:t xml:space="preserve">0.121</w:t>
            </w:r>
          </w:p>
        </w:tc>
        <w:tc>
          <w:p>
            <w:pPr>
              <w:pStyle w:val="Compact"/>
              <w:jc w:val="left"/>
            </w:pPr>
            <w:r>
              <w:t xml:space="preserve">0.171</w:t>
            </w:r>
          </w:p>
        </w:tc>
        <w:tc>
          <w:p>
            <w:pPr>
              <w:pStyle w:val="Compact"/>
              <w:jc w:val="left"/>
            </w:pPr>
            <w:r>
              <w:t xml:space="preserve">0.173</w:t>
            </w:r>
          </w:p>
        </w:tc>
        <w:tc>
          <w:p>
            <w:pPr>
              <w:pStyle w:val="Compact"/>
              <w:jc w:val="left"/>
            </w:pPr>
            <w:r>
              <w:t xml:space="preserve">1.41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0.521</w:t>
            </w:r>
          </w:p>
        </w:tc>
        <w:tc>
          <w:p>
            <w:pPr>
              <w:pStyle w:val="Compact"/>
              <w:jc w:val="left"/>
            </w:pPr>
            <w:r>
              <w:t xml:space="preserve">0.415</w:t>
            </w:r>
          </w:p>
        </w:tc>
        <w:tc>
          <w:p>
            <w:pPr>
              <w:pStyle w:val="Compact"/>
              <w:jc w:val="left"/>
            </w:pPr>
            <w:r>
              <w:t xml:space="preserve">0.617</w:t>
            </w:r>
          </w:p>
        </w:tc>
        <w:tc>
          <w:p>
            <w:pPr>
              <w:pStyle w:val="Compact"/>
              <w:jc w:val="left"/>
            </w:pPr>
            <w:r>
              <w:t xml:space="preserve">0.283</w:t>
            </w:r>
          </w:p>
        </w:tc>
        <w:tc>
          <w:p>
            <w:pPr>
              <w:pStyle w:val="Compact"/>
              <w:jc w:val="left"/>
            </w:pPr>
            <w:r>
              <w:t xml:space="preserve">0.051</w:t>
            </w:r>
          </w:p>
        </w:tc>
        <w:tc>
          <w:p>
            <w:pPr>
              <w:pStyle w:val="Compact"/>
              <w:jc w:val="left"/>
            </w:pPr>
            <w:r>
              <w:t xml:space="preserve">0.097</w:t>
            </w:r>
          </w:p>
        </w:tc>
        <w:tc>
          <w:p>
            <w:pPr>
              <w:pStyle w:val="Compact"/>
              <w:jc w:val="left"/>
            </w:pPr>
            <w:r>
              <w:t xml:space="preserve">0.106</w:t>
            </w:r>
          </w:p>
        </w:tc>
        <w:tc>
          <w:p>
            <w:pPr>
              <w:pStyle w:val="Compact"/>
              <w:jc w:val="left"/>
            </w:pPr>
            <w:r>
              <w:t xml:space="preserve">0.148</w:t>
            </w:r>
          </w:p>
        </w:tc>
        <w:tc>
          <w:p>
            <w:pPr>
              <w:pStyle w:val="Compact"/>
              <w:jc w:val="left"/>
            </w:pPr>
            <w:r>
              <w:t xml:space="preserve">0.152</w:t>
            </w:r>
          </w:p>
        </w:tc>
        <w:tc>
          <w:p>
            <w:pPr>
              <w:pStyle w:val="Compact"/>
              <w:jc w:val="left"/>
            </w:pPr>
            <w:r>
              <w:t xml:space="preserve">1.36</w:t>
            </w:r>
          </w:p>
        </w:tc>
      </w:tr>
    </w:tbl>
    <w:p>
      <w:pPr>
        <w:pStyle w:val="Heading3"/>
      </w:pPr>
      <w:bookmarkStart w:id="47" w:name="c.-reliability-and-the-value-of-calibration"/>
      <w:bookmarkEnd w:id="47"/>
      <w:r>
        <w:t xml:space="preserve">c. Reliability and the value of calibration</w:t>
      </w:r>
    </w:p>
    <w:p>
      <w:pPr>
        <w:pStyle w:val="FirstParagraph"/>
      </w:pPr>
      <w:r>
        <w:t xml:space="preserve">The gap between the calibrated and raw products (Table 4, "BSS vs raw") is a direct measure of the</w:t>
      </w:r>
      <w:r>
        <w:t xml:space="preserve"> </w:t>
      </w:r>
      <w:r>
        <w:t xml:space="preserve">value of post-processing: the raw block-exceedance probability is systematically overconfident, and</w:t>
      </w:r>
      <w:r>
        <w:t xml:space="preserve"> </w:t>
      </w:r>
      <w:r>
        <w:t xml:space="preserve">isotonic recalibration removes most of the reliability penalty while preserving resolution. This is the</w:t>
      </w:r>
      <w:r>
        <w:t xml:space="preserve"> </w:t>
      </w:r>
      <w:r>
        <w:t xml:space="preserve">expected behaviour for a single deterministic member converted to a probability, and it confirms that</w:t>
      </w:r>
      <w:r>
        <w:t xml:space="preserve"> </w:t>
      </w:r>
      <w:r>
        <w:t xml:space="preserve">the calibration step—not any single model choice—is what makes the product usable.</w:t>
      </w:r>
    </w:p>
    <w:p>
      <w:pPr>
        <w:pStyle w:val="Heading3"/>
      </w:pPr>
      <w:bookmarkStart w:id="48" w:name="d.-spatial-and-regional-structure"/>
      <w:bookmarkEnd w:id="48"/>
      <w:r>
        <w:t xml:space="preserve">d. Spatial and regional structure</w:t>
      </w:r>
    </w:p>
    <w:p>
      <w:pPr>
        <w:pStyle w:val="FirstParagraph"/>
      </w:pPr>
      <w:r>
        <w:t xml:space="preserve">Per-cell Brier skill with FDR control (</w:t>
      </w:r>
      <w:r>
        <w:rPr>
          <w:rStyle w:val="VerbatimChar"/>
        </w:rPr>
        <w:t xml:space="preserve">q = 0.05</w:t>
      </w:r>
      <w:r>
        <w:t xml:space="preserve">) is significant for 539/504/192/116/68/30 of the 541</w:t>
      </w:r>
      <w:r>
        <w:t xml:space="preserve"> </w:t>
      </w:r>
      <w:r>
        <w:t xml:space="preserve">land cells at W1…W6. Regionally, the tropical south retains skill markedly longer than the north: R6 Tây</w:t>
      </w:r>
      <w:r>
        <w:t xml:space="preserve"> </w:t>
      </w:r>
      <w:r>
        <w:t xml:space="preserve">Nguyên and R7 Nam Bộ show BSS ≈ 0.18–0.19 at W2, ≈ 0.10–0.12 at W3, and still positive at extended</w:t>
      </w:r>
      <w:r>
        <w:t xml:space="preserve"> </w:t>
      </w:r>
      <w:r>
        <w:t xml:space="preserve">range (≈ +0.07–0.08 at W4, decaying to ≈ +0.04 by W6), whereas R1–R3 in the north lose skill by W3 and</w:t>
      </w:r>
      <w:r>
        <w:t xml:space="preserve"> </w:t>
      </w:r>
      <w:r>
        <w:t xml:space="preserve">turn slightly negative at W3–W6. The operational skilful horizon is thus lead-</w:t>
      </w:r>
      <w:r>
        <w:t xml:space="preserve"> </w:t>
      </w:r>
      <w:r>
        <w:rPr>
          <w:b/>
        </w:rPr>
        <w:t xml:space="preserve">and</w:t>
      </w:r>
      <w:r>
        <w:t xml:space="preserve"> </w:t>
      </w:r>
      <w:r>
        <w:t xml:space="preserve">region-dependent</w:t>
      </w:r>
      <w:r>
        <w:t xml:space="preserve"> </w:t>
      </w:r>
      <w:r>
        <w:t xml:space="preserve">(north ≈ W2, south ≈ W3+), consistent with tropical heat being more persistent and less synoptically</w:t>
      </w:r>
      <w:r>
        <w:t xml:space="preserve"> </w:t>
      </w:r>
      <w:r>
        <w:t xml:space="preserve">driven.</w:t>
      </w:r>
    </w:p>
    <w:p>
      <w:pPr>
        <w:pStyle w:val="Heading3"/>
      </w:pPr>
      <w:bookmarkStart w:id="49" w:name="e.-season-and-severity-stratification"/>
      <w:bookmarkEnd w:id="49"/>
      <w:r>
        <w:t xml:space="preserve">e. Season and severity stratification</w:t>
      </w:r>
    </w:p>
    <w:p>
      <w:pPr>
        <w:pStyle w:val="FirstParagraph"/>
      </w:pPr>
      <w:r>
        <w:t xml:space="preserve">Stratified by initialisation season (Table 6), the pre-monsoon</w:t>
      </w:r>
      <w:r>
        <w:t xml:space="preserve"> </w:t>
      </w:r>
      <w:r>
        <w:rPr>
          <w:b/>
        </w:rPr>
        <w:t xml:space="preserve">MAM</w:t>
      </w:r>
      <w:r>
        <w:t xml:space="preserve"> </w:t>
      </w:r>
      <w:r>
        <w:t xml:space="preserve">season is the most predictable</w:t>
      </w:r>
      <w:r>
        <w:t xml:space="preserve"> </w:t>
      </w:r>
      <w:r>
        <w:t xml:space="preserve">at extended range—the only season with positive BSS through W6—while DJF and JJA lose skill by W3. This</w:t>
      </w:r>
      <w:r>
        <w:t xml:space="preserve"> </w:t>
      </w:r>
      <w:r>
        <w:t xml:space="preserve">is operationally favourable: the product is most trustworthy at long lead precisely in the season when</w:t>
      </w:r>
      <w:r>
        <w:t xml:space="preserve"> </w:t>
      </w:r>
      <w:r>
        <w:t xml:space="preserve">extreme heat is most consequential. Stratified by climatological EHD frequency (terciles), skill rises</w:t>
      </w:r>
      <w:r>
        <w:t xml:space="preserve"> </w:t>
      </w:r>
      <w:r>
        <w:t xml:space="preserve">with base rate at W1 but converges to near-zero across all terciles by W4–W6.</w:t>
      </w:r>
    </w:p>
    <w:p>
      <w:pPr>
        <w:pStyle w:val="BodyText"/>
      </w:pPr>
      <w:r>
        <w:rPr>
          <w:b/>
        </w:rPr>
        <w:t xml:space="preserve">Table 6.</w:t>
      </w:r>
      <w:r>
        <w:t xml:space="preserve"> </w:t>
      </w:r>
      <w:r>
        <w:t xml:space="preserve">BSS vs climatology by initialisation season,</w:t>
      </w:r>
      <w:r>
        <w:t xml:space="preserve"> </w:t>
      </w:r>
      <w:r>
        <w:rPr>
          <w:rStyle w:val="VerbatimChar"/>
        </w:rPr>
        <w:t xml:space="preserve">hgb_recal</w:t>
      </w:r>
      <w:r>
        <w:t xml:space="preserve">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DJF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JJA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0.420</w:t>
            </w:r>
          </w:p>
        </w:tc>
        <w:tc>
          <w:p>
            <w:pPr>
              <w:pStyle w:val="Compact"/>
              <w:jc w:val="left"/>
            </w:pPr>
            <w:r>
              <w:t xml:space="preserve">0.407</w:t>
            </w:r>
          </w:p>
        </w:tc>
        <w:tc>
          <w:p>
            <w:pPr>
              <w:pStyle w:val="Compact"/>
              <w:jc w:val="left"/>
            </w:pPr>
            <w:r>
              <w:t xml:space="preserve">0.263</w:t>
            </w:r>
          </w:p>
        </w:tc>
        <w:tc>
          <w:p>
            <w:pPr>
              <w:pStyle w:val="Compact"/>
              <w:jc w:val="left"/>
            </w:pPr>
            <w:r>
              <w:t xml:space="preserve">0.343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0.117</w:t>
            </w:r>
          </w:p>
        </w:tc>
        <w:tc>
          <w:p>
            <w:pPr>
              <w:pStyle w:val="Compact"/>
              <w:jc w:val="left"/>
            </w:pPr>
            <w:r>
              <w:t xml:space="preserve">0.177</w:t>
            </w:r>
          </w:p>
        </w:tc>
        <w:tc>
          <w:p>
            <w:pPr>
              <w:pStyle w:val="Compact"/>
              <w:jc w:val="left"/>
            </w:pPr>
            <w:r>
              <w:t xml:space="preserve">0.076</w:t>
            </w:r>
          </w:p>
        </w:tc>
        <w:tc>
          <w:p>
            <w:pPr>
              <w:pStyle w:val="Compact"/>
              <w:jc w:val="left"/>
            </w:pPr>
            <w:r>
              <w:t xml:space="preserve">0.104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0.012</w:t>
            </w:r>
          </w:p>
        </w:tc>
        <w:tc>
          <w:p>
            <w:pPr>
              <w:pStyle w:val="Compact"/>
              <w:jc w:val="left"/>
            </w:pPr>
            <w:r>
              <w:t xml:space="preserve">0.075</w:t>
            </w:r>
          </w:p>
        </w:tc>
        <w:tc>
          <w:p>
            <w:pPr>
              <w:pStyle w:val="Compact"/>
              <w:jc w:val="left"/>
            </w:pPr>
            <w:r>
              <w:t xml:space="preserve">0.029</w:t>
            </w:r>
          </w:p>
        </w:tc>
        <w:tc>
          <w:p>
            <w:pPr>
              <w:pStyle w:val="Compact"/>
              <w:jc w:val="left"/>
            </w:pPr>
            <w:r>
              <w:t xml:space="preserve">0.031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−0.010</w:t>
            </w:r>
          </w:p>
        </w:tc>
        <w:tc>
          <w:p>
            <w:pPr>
              <w:pStyle w:val="Compact"/>
              <w:jc w:val="left"/>
            </w:pPr>
            <w:r>
              <w:t xml:space="preserve">0.051</w:t>
            </w:r>
          </w:p>
        </w:tc>
        <w:tc>
          <w:p>
            <w:pPr>
              <w:pStyle w:val="Compact"/>
              <w:jc w:val="left"/>
            </w:pPr>
            <w:r>
              <w:t xml:space="preserve">−0.004</w:t>
            </w:r>
          </w:p>
        </w:tc>
        <w:tc>
          <w:p>
            <w:pPr>
              <w:pStyle w:val="Compact"/>
              <w:jc w:val="left"/>
            </w:pPr>
            <w:r>
              <w:t xml:space="preserve">0.019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−0.014</w:t>
            </w:r>
          </w:p>
        </w:tc>
        <w:tc>
          <w:p>
            <w:pPr>
              <w:pStyle w:val="Compact"/>
              <w:jc w:val="left"/>
            </w:pPr>
            <w:r>
              <w:t xml:space="preserve">0.039</w:t>
            </w:r>
          </w:p>
        </w:tc>
        <w:tc>
          <w:p>
            <w:pPr>
              <w:pStyle w:val="Compact"/>
              <w:jc w:val="left"/>
            </w:pPr>
            <w:r>
              <w:t xml:space="preserve">−0.005</w:t>
            </w:r>
          </w:p>
        </w:tc>
        <w:tc>
          <w:p>
            <w:pPr>
              <w:pStyle w:val="Compact"/>
              <w:jc w:val="left"/>
            </w:pPr>
            <w:r>
              <w:t xml:space="preserve">−0.003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−0.021</w:t>
            </w:r>
          </w:p>
        </w:tc>
        <w:tc>
          <w:p>
            <w:pPr>
              <w:pStyle w:val="Compact"/>
              <w:jc w:val="left"/>
            </w:pPr>
            <w:r>
              <w:t xml:space="preserve">0.025</w:t>
            </w:r>
          </w:p>
        </w:tc>
        <w:tc>
          <w:p>
            <w:pPr>
              <w:pStyle w:val="Compact"/>
              <w:jc w:val="left"/>
            </w:pPr>
            <w:r>
              <w:t xml:space="preserve">−0.011</w:t>
            </w:r>
          </w:p>
        </w:tc>
        <w:tc>
          <w:p>
            <w:pPr>
              <w:pStyle w:val="Compact"/>
              <w:jc w:val="left"/>
            </w:pPr>
            <w:r>
              <w:t xml:space="preserve">−0.016</w:t>
            </w:r>
          </w:p>
        </w:tc>
      </w:tr>
    </w:tbl>
    <w:p>
      <w:pPr>
        <w:pStyle w:val="Heading3"/>
      </w:pPr>
      <w:bookmarkStart w:id="50" w:name="f.-predictand-formulation-event-classification-severity-regression-and-the-cascade"/>
      <w:bookmarkEnd w:id="50"/>
      <w:r>
        <w:t xml:space="preserve">f. Predictand formulation: event classification, severity regression, and the cascade</w:t>
      </w:r>
    </w:p>
    <w:p>
      <w:pPr>
        <w:pStyle w:val="FirstParagraph"/>
      </w:pPr>
      <w:r>
        <w:t xml:space="preserve">Comparing the three predictand formulations of §3a on the identical leakage-safe pipeline, the</w:t>
      </w:r>
      <w:r>
        <w:t xml:space="preserve"> </w:t>
      </w:r>
      <w:r>
        <w:rPr>
          <w:b/>
        </w:rPr>
        <w:t xml:space="preserve">severity-regression</w:t>
      </w:r>
      <w:r>
        <w:t xml:space="preserve"> </w:t>
      </w:r>
      <w:r>
        <w:t xml:space="preserve">pathway (</w:t>
      </w:r>
      <w:r>
        <w:rPr>
          <w:rStyle w:val="VerbatimChar"/>
        </w:rPr>
        <w:t xml:space="preserve">*_sev</w:t>
      </w:r>
      <w:r>
        <w:t xml:space="preserve"> </w:t>
      </w:r>
      <w:r>
        <w:t xml:space="preserve">members with an isotonic link) is competitive with</w:t>
      </w:r>
      <w:r>
        <w:t xml:space="preserve"> </w:t>
      </w:r>
      <w:r>
        <w:rPr>
          <w:b/>
        </w:rPr>
        <w:t xml:space="preserve">direct</w:t>
      </w:r>
      <w:r>
        <w:rPr>
          <w:b/>
        </w:rPr>
        <w:t xml:space="preserve"> </w:t>
      </w:r>
      <w:r>
        <w:rPr>
          <w:b/>
        </w:rPr>
        <w:t xml:space="preserve">event classification</w:t>
      </w:r>
      <w:r>
        <w:t xml:space="preserve"> </w:t>
      </w:r>
      <w:r>
        <w:t xml:space="preserve">but does not systematically beat it: at short lead the boosting classifiers and</w:t>
      </w:r>
      <w:r>
        <w:t xml:space="preserve"> </w:t>
      </w:r>
      <w:r>
        <w:t xml:space="preserve">severity regressors are within a few thousandths of BSS/SEDI of one another, and at long lead the</w:t>
      </w:r>
      <w:r>
        <w:t xml:space="preserve"> </w:t>
      </w:r>
      <w:r>
        <w:t xml:space="preserve">linear/logistic member on the slow predictors leads regardless of whether it is posed as classification</w:t>
      </w:r>
      <w:r>
        <w:t xml:space="preserve"> </w:t>
      </w:r>
      <w:r>
        <w:t xml:space="preserve">or regression. The</w:t>
      </w:r>
      <w:r>
        <w:t xml:space="preserve"> </w:t>
      </w:r>
      <w:r>
        <w:rPr>
          <w:b/>
        </w:rPr>
        <w:t xml:space="preserve">two-level cascade</w:t>
      </w:r>
      <w:r>
        <w:t xml:space="preserve"> </w:t>
      </w:r>
      <w:r>
        <w:t xml:space="preserve">that screens easy non-events is</w:t>
      </w:r>
      <w:r>
        <w:t xml:space="preserve"> </w:t>
      </w:r>
      <w:r>
        <w:rPr>
          <w:b/>
        </w:rPr>
        <w:t xml:space="preserve">skill-neutral</w:t>
      </w:r>
      <w:r>
        <w:t xml:space="preserve">—sweeping the</w:t>
      </w:r>
      <w:r>
        <w:t xml:space="preserve"> </w:t>
      </w:r>
      <w:r>
        <w:t xml:space="preserve">screening cutoff from 0.90 to 0.99 moves pooled scores only in the third decimal—so the production</w:t>
      </w:r>
      <w:r>
        <w:t xml:space="preserve"> </w:t>
      </w:r>
      <w:r>
        <w:t xml:space="preserve">configuration combines members without screening (cutoff 1.0). The practical conclusion is that the</w:t>
      </w:r>
      <w:r>
        <w:t xml:space="preserve"> </w:t>
      </w:r>
      <w:r>
        <w:t xml:space="preserve">event framing is adequate; the severity variable is retained because it adds an interpretable magnitude</w:t>
      </w:r>
      <w:r>
        <w:t xml:space="preserve"> </w:t>
      </w:r>
      <w:r>
        <w:t xml:space="preserve">and diversifies the ensemble, not because it lifts headline skill.</w:t>
      </w:r>
    </w:p>
    <w:p>
      <w:pPr>
        <w:pStyle w:val="Heading3"/>
      </w:pPr>
      <w:bookmarkStart w:id="51" w:name="g.-expanded-zoo-and-ensemble-versus-the-best-single-member"/>
      <w:bookmarkEnd w:id="51"/>
      <w:r>
        <w:t xml:space="preserve">g. Expanded zoo, and ensemble versus the best single member</w:t>
      </w:r>
    </w:p>
    <w:p>
      <w:pPr>
        <w:pStyle w:val="FirstParagraph"/>
      </w:pPr>
      <w:r>
        <w:t xml:space="preserve">Scoring</w:t>
      </w:r>
      <w:r>
        <w:t xml:space="preserve"> </w:t>
      </w:r>
      <w:r>
        <w:rPr>
          <w:b/>
        </w:rPr>
        <w:t xml:space="preserve">every</w:t>
      </w:r>
      <w:r>
        <w:t xml:space="preserve"> </w:t>
      </w:r>
      <w:r>
        <w:t xml:space="preserve">member—including the CNN and deep ANN—on the</w:t>
      </w:r>
      <w:r>
        <w:t xml:space="preserve"> </w:t>
      </w:r>
      <w:r>
        <w:rPr>
          <w:i/>
        </w:rPr>
        <w:t xml:space="preserve">identical</w:t>
      </w:r>
      <w:r>
        <w:t xml:space="preserve"> </w:t>
      </w:r>
      <w:r>
        <w:t xml:space="preserve">leakage-safe pipeline as the</w:t>
      </w:r>
      <w:r>
        <w:t xml:space="preserve"> </w:t>
      </w:r>
      <w:r>
        <w:t xml:space="preserve">ensembles (per-held-out-year, per-region Peirce decision threshold) makes the ensemble-vs-member</w:t>
      </w:r>
      <w:r>
        <w:t xml:space="preserve"> </w:t>
      </w:r>
      <w:r>
        <w:t xml:space="preserve">comparison apples-to-apples. On that common footing the best single member is the</w:t>
      </w:r>
      <w:r>
        <w:t xml:space="preserve"> </w:t>
      </w:r>
      <w:r>
        <w:rPr>
          <w:b/>
        </w:rPr>
        <w:t xml:space="preserve">fully-convolutional</w:t>
      </w:r>
      <w:r>
        <w:rPr>
          <w:b/>
        </w:rPr>
        <w:t xml:space="preserve"> </w:t>
      </w:r>
      <w:r>
        <w:rPr>
          <w:b/>
        </w:rPr>
        <w:t xml:space="preserve">CNN at every block</w:t>
      </w:r>
      <w:r>
        <w:t xml:space="preserve">. The stacked ensemble</w:t>
      </w:r>
      <w:r>
        <w:t xml:space="preserve"> </w:t>
      </w:r>
      <w:r>
        <w:rPr>
          <w:rStyle w:val="VerbatimChar"/>
        </w:rPr>
        <w:t xml:space="preserve">ens_stack</w:t>
      </w:r>
      <w:r>
        <w:t xml:space="preserve"> </w:t>
      </w:r>
      <w:r>
        <w:t xml:space="preserve">is the best forecast at</w:t>
      </w:r>
      <w:r>
        <w:t xml:space="preserve"> </w:t>
      </w:r>
      <w:r>
        <w:rPr>
          <w:b/>
        </w:rPr>
        <w:t xml:space="preserve">short lead (W1–W2)</w:t>
      </w:r>
      <w:r>
        <w:t xml:space="preserve">,</w:t>
      </w:r>
      <w:r>
        <w:t xml:space="preserve"> </w:t>
      </w:r>
      <w:r>
        <w:t xml:space="preserve">but at</w:t>
      </w:r>
      <w:r>
        <w:t xml:space="preserve"> </w:t>
      </w:r>
      <w:r>
        <w:rPr>
          <w:b/>
        </w:rPr>
        <w:t xml:space="preserve">long lead (W3–W6) the CNN matches or slightly exceeds it</w:t>
      </w:r>
      <w:r>
        <w:t xml:space="preserve"> </w:t>
      </w:r>
      <w:r>
        <w:t xml:space="preserve">(Table 7). Stacking therefore helps</w:t>
      </w:r>
      <w:r>
        <w:t xml:space="preserve"> </w:t>
      </w:r>
      <w:r>
        <w:t xml:space="preserve">most where the signal is strongest; at long lead no combination beats the single CNN—a caution against</w:t>
      </w:r>
      <w:r>
        <w:t xml:space="preserve"> </w:t>
      </w:r>
      <w:r>
        <w:t xml:space="preserve">assuming ensemble averaging always helps once members become correlated and the signal is weak.</w:t>
      </w:r>
    </w:p>
    <w:p>
      <w:pPr>
        <w:pStyle w:val="BodyText"/>
      </w:pPr>
      <w:r>
        <w:rPr>
          <w:b/>
        </w:rPr>
        <w:t xml:space="preserve">Table 7.</w:t>
      </w:r>
      <w:r>
        <w:t xml:space="preserve"> </w:t>
      </w:r>
      <w:r>
        <w:t xml:space="preserve">Best single member (CNN) vs stacked ensemble, SEDI / BSS / AUC (same pipeline). Bold =</w:t>
      </w:r>
      <w:r>
        <w:t xml:space="preserve"> </w:t>
      </w:r>
      <w:r>
        <w:t xml:space="preserve">better value for that metric and lead.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CNN (best member)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ens_stack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0.707 / 0.385 / 0.859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0.715 / 0.391 / 0.864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0.445 / 0.136 / 0.722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0.454 / 0.139 / 0.725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0.292 / 0.063 / 0.647</w:t>
            </w:r>
          </w:p>
        </w:tc>
        <w:tc>
          <w:p>
            <w:pPr>
              <w:pStyle w:val="Compact"/>
              <w:jc w:val="left"/>
            </w:pPr>
            <w:r>
              <w:t xml:space="preserve">0.291 / 0.059 / 0.642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0.245 /</w:t>
            </w:r>
            <w:r>
              <w:t xml:space="preserve"> </w:t>
            </w:r>
            <w:r>
              <w:rPr>
                <w:b/>
              </w:rPr>
              <w:t xml:space="preserve">0.046 / 0.622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0.249</w:t>
            </w:r>
            <w:r>
              <w:t xml:space="preserve"> </w:t>
            </w:r>
            <w:r>
              <w:t xml:space="preserve">/ 0.041 / 0.616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0.190 /</w:t>
            </w:r>
            <w:r>
              <w:t xml:space="preserve"> </w:t>
            </w:r>
            <w:r>
              <w:rPr>
                <w:b/>
              </w:rPr>
              <w:t xml:space="preserve">0.033 / 0.606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0.203</w:t>
            </w:r>
            <w:r>
              <w:t xml:space="preserve"> </w:t>
            </w:r>
            <w:r>
              <w:t xml:space="preserve">/ 0.029 / 0.596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0.181 / 0.027 / 0.593</w:t>
            </w:r>
          </w:p>
        </w:tc>
        <w:tc>
          <w:p>
            <w:pPr>
              <w:pStyle w:val="Compact"/>
              <w:jc w:val="left"/>
            </w:pPr>
            <w:r>
              <w:t xml:space="preserve">0.170 / 0.022 / 0.581</w:t>
            </w:r>
          </w:p>
        </w:tc>
      </w:tr>
    </w:tbl>
    <w:p>
      <w:pPr>
        <w:pStyle w:val="Heading3"/>
      </w:pPr>
      <w:bookmarkStart w:id="52" w:name="h.-vote-ensemble-and-regionweek-event-forecast"/>
      <w:bookmarkEnd w:id="52"/>
      <w:r>
        <w:t xml:space="preserve">h. Vote ensemble and region×week event forecast</w:t>
      </w:r>
    </w:p>
    <w:p>
      <w:pPr>
        <w:pStyle w:val="FirstParagraph"/>
      </w:pPr>
      <w:r>
        <w:t xml:space="preserve">A transparent 23-member vote ensemble roughly matches the best single member and sits a little below the</w:t>
      </w:r>
      <w:r>
        <w:t xml:space="preserve"> </w:t>
      </w:r>
      <w:r>
        <w:t xml:space="preserve">trained</w:t>
      </w:r>
      <w:r>
        <w:t xml:space="preserve"> </w:t>
      </w:r>
      <w:r>
        <w:rPr>
          <w:rStyle w:val="VerbatimChar"/>
        </w:rPr>
        <w:t xml:space="preserve">ens_stack</w:t>
      </w:r>
      <w:r>
        <w:t xml:space="preserve"> </w:t>
      </w:r>
      <w:r>
        <w:t xml:space="preserve">at short lead (W1 SEDI 0.674 vs 0.715), with the Peirce-optimal</w:t>
      </w:r>
      <w:r>
        <w:t xml:space="preserve"> </w:t>
      </w:r>
      <w:r>
        <w:rPr>
          <w:rStyle w:val="VerbatimChar"/>
        </w:rPr>
        <w:t xml:space="preserve">P₀</w:t>
      </w:r>
      <w:r>
        <w:t xml:space="preserve"> </w:t>
      </w:r>
      <w:r>
        <w:t xml:space="preserve">near a simple</w:t>
      </w:r>
      <w:r>
        <w:t xml:space="preserve"> </w:t>
      </w:r>
      <w:r>
        <w:t xml:space="preserve">majority (≈ 0.5). Aggregating the forecast to a</w:t>
      </w:r>
      <w:r>
        <w:t xml:space="preserve"> </w:t>
      </w:r>
      <w:r>
        <w:rPr>
          <w:b/>
        </w:rPr>
        <w:t xml:space="preserve">region×week event</w:t>
      </w:r>
      <w:r>
        <w:t xml:space="preserve">—alerting a region when the fraction</w:t>
      </w:r>
      <w:r>
        <w:t xml:space="preserve"> </w:t>
      </w:r>
      <w:r>
        <w:t xml:space="preserve">of its cells forecast to be EHD exceeds a threshold—is</w:t>
      </w:r>
      <w:r>
        <w:t xml:space="preserve"> </w:t>
      </w:r>
      <w:r>
        <w:rPr>
          <w:b/>
        </w:rPr>
        <w:t xml:space="preserve">markedly more skilful than the per-cell</w:t>
      </w:r>
      <w:r>
        <w:rPr>
          <w:b/>
        </w:rPr>
        <w:t xml:space="preserve"> </w:t>
      </w:r>
      <w:r>
        <w:rPr>
          <w:b/>
        </w:rPr>
        <w:t xml:space="preserve">product</w:t>
      </w:r>
      <w:r>
        <w:t xml:space="preserve"> </w:t>
      </w:r>
      <w:r>
        <w:t xml:space="preserve">(W1 Peirce 0.65 / SEDI 0.80, still positive at W6), because cell-scale noise averages out. The</w:t>
      </w:r>
      <w:r>
        <w:t xml:space="preserve"> </w:t>
      </w:r>
      <w:r>
        <w:t xml:space="preserve">per-week Peirce-optimal coverage threshold is unstable across folds, so a fixed 0.5 majority reference is</w:t>
      </w:r>
      <w:r>
        <w:t xml:space="preserve"> </w:t>
      </w:r>
      <w:r>
        <w:t xml:space="preserve">recommended operationally.</w:t>
      </w:r>
    </w:p>
    <w:p>
      <w:pPr>
        <w:pStyle w:val="Heading3"/>
      </w:pPr>
      <w:bookmarkStart w:id="53" w:name="i.-secondary-predictand-heat-wave-3-consecutive-ehds"/>
      <w:bookmarkEnd w:id="53"/>
      <w:r>
        <w:t xml:space="preserve">i. Secondary predictand — heat-wave (≥3 consecutive EHDs)</w:t>
      </w:r>
    </w:p>
    <w:p>
      <w:pPr>
        <w:pStyle w:val="FirstParagraph"/>
      </w:pPr>
      <w:r>
        <w:t xml:space="preserve">Verified under the same LOYO protocol, the heat-wave product (base rate 0.11–0.16, rarer than the</w:t>
      </w:r>
      <w:r>
        <w:t xml:space="preserve"> </w:t>
      </w:r>
      <w:r>
        <w:t xml:space="preserve">primary) shows the</w:t>
      </w:r>
      <w:r>
        <w:t xml:space="preserve"> </w:t>
      </w:r>
      <w:r>
        <w:rPr>
          <w:b/>
        </w:rPr>
        <w:t xml:space="preserve">same skill horizon</w:t>
      </w:r>
      <w:r>
        <w:t xml:space="preserve"> </w:t>
      </w:r>
      <w:r>
        <w:t xml:space="preserve">as the primary: significant BSS vs climatology to W3 (0.269 /</w:t>
      </w:r>
      <w:r>
        <w:t xml:space="preserve"> </w:t>
      </w:r>
      <w:r>
        <w:t xml:space="preserve">0.092 / 0.033, all bootstrap CIs above zero) and climatology-equivalent at W4+ (Table 8). Discrimination</w:t>
      </w:r>
      <w:r>
        <w:t xml:space="preserve"> </w:t>
      </w:r>
      <w:r>
        <w:t xml:space="preserve">is weaker than the primary at matched lead, and the binary heat-wave flag</w:t>
      </w:r>
      <w:r>
        <w:t xml:space="preserve"> </w:t>
      </w:r>
      <w:r>
        <w:rPr>
          <w:b/>
        </w:rPr>
        <w:t xml:space="preserve">over-forecasts strongly</w:t>
      </w:r>
      <w:r>
        <w:t xml:space="preserve"> </w:t>
      </w:r>
      <w:r>
        <w:t xml:space="preserve">(frequency bias 2.0–2.8): a Peirce-optimal threshold on a rare event buys hit rate at the cost of false</w:t>
      </w:r>
      <w:r>
        <w:t xml:space="preserve"> </w:t>
      </w:r>
      <w:r>
        <w:t xml:space="preserve">alarms, so the flag should be read as a screening alert alongside the probability.</w:t>
      </w:r>
    </w:p>
    <w:p>
      <w:pPr>
        <w:pStyle w:val="BodyText"/>
      </w:pPr>
      <w:r>
        <w:rPr>
          <w:b/>
        </w:rPr>
        <w:t xml:space="preserve">Table 8.</w:t>
      </w:r>
      <w:r>
        <w:t xml:space="preserve"> </w:t>
      </w:r>
      <w:r>
        <w:t xml:space="preserve">Heat-wave (secondary) LOYO skill,</w:t>
      </w:r>
      <w:r>
        <w:t xml:space="preserve"> </w:t>
      </w:r>
      <w:r>
        <w:rPr>
          <w:rStyle w:val="VerbatimChar"/>
        </w:rPr>
        <w:t xml:space="preserve">hgb_recal</w:t>
      </w:r>
      <w:r>
        <w:t xml:space="preserve">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 rate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BSS vs clim [95 % CI]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AUC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SEDI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freq bias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significant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0.158</w:t>
            </w:r>
          </w:p>
        </w:tc>
        <w:tc>
          <w:p>
            <w:pPr>
              <w:pStyle w:val="Compact"/>
              <w:jc w:val="left"/>
            </w:pPr>
            <w:r>
              <w:t xml:space="preserve">0.269 [0.240, 0.300]</w:t>
            </w:r>
          </w:p>
        </w:tc>
        <w:tc>
          <w:p>
            <w:pPr>
              <w:pStyle w:val="Compact"/>
              <w:jc w:val="left"/>
            </w:pPr>
            <w:r>
              <w:t xml:space="preserve">0.849</w:t>
            </w:r>
          </w:p>
        </w:tc>
        <w:tc>
          <w:p>
            <w:pPr>
              <w:pStyle w:val="Compact"/>
              <w:jc w:val="left"/>
            </w:pPr>
            <w:r>
              <w:t xml:space="preserve">0.691</w:t>
            </w:r>
          </w:p>
        </w:tc>
        <w:tc>
          <w:p>
            <w:pPr>
              <w:pStyle w:val="Compact"/>
              <w:jc w:val="left"/>
            </w:pPr>
            <w:r>
              <w:t xml:space="preserve">2.00</w:t>
            </w:r>
          </w:p>
        </w:tc>
        <w:tc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0.136</w:t>
            </w:r>
          </w:p>
        </w:tc>
        <w:tc>
          <w:p>
            <w:pPr>
              <w:pStyle w:val="Compact"/>
              <w:jc w:val="left"/>
            </w:pPr>
            <w:r>
              <w:t xml:space="preserve">0.092 [0.058, 0.128]</w:t>
            </w:r>
          </w:p>
        </w:tc>
        <w:tc>
          <w:p>
            <w:pPr>
              <w:pStyle w:val="Compact"/>
              <w:jc w:val="left"/>
            </w:pPr>
            <w:r>
              <w:t xml:space="preserve">0.727</w:t>
            </w:r>
          </w:p>
        </w:tc>
        <w:tc>
          <w:p>
            <w:pPr>
              <w:pStyle w:val="Compact"/>
              <w:jc w:val="left"/>
            </w:pPr>
            <w:r>
              <w:t xml:space="preserve">0.453</w:t>
            </w:r>
          </w:p>
        </w:tc>
        <w:tc>
          <w:p>
            <w:pPr>
              <w:pStyle w:val="Compact"/>
              <w:jc w:val="left"/>
            </w:pPr>
            <w:r>
              <w:t xml:space="preserve">2.63</w:t>
            </w:r>
          </w:p>
        </w:tc>
        <w:tc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0.136</w:t>
            </w:r>
          </w:p>
        </w:tc>
        <w:tc>
          <w:p>
            <w:pPr>
              <w:pStyle w:val="Compact"/>
              <w:jc w:val="left"/>
            </w:pPr>
            <w:r>
              <w:t xml:space="preserve">0.033 [0.002, 0.059]</w:t>
            </w:r>
          </w:p>
        </w:tc>
        <w:tc>
          <w:p>
            <w:pPr>
              <w:pStyle w:val="Compact"/>
              <w:jc w:val="left"/>
            </w:pPr>
            <w:r>
              <w:t xml:space="preserve">0.649</w:t>
            </w:r>
          </w:p>
        </w:tc>
        <w:tc>
          <w:p>
            <w:pPr>
              <w:pStyle w:val="Compact"/>
              <w:jc w:val="left"/>
            </w:pPr>
            <w:r>
              <w:t xml:space="preserve">0.302</w:t>
            </w:r>
          </w:p>
        </w:tc>
        <w:tc>
          <w:p>
            <w:pPr>
              <w:pStyle w:val="Compact"/>
              <w:jc w:val="left"/>
            </w:pPr>
            <w:r>
              <w:t xml:space="preserve">2.59</w:t>
            </w:r>
          </w:p>
        </w:tc>
        <w:tc>
          <w:p>
            <w:pPr>
              <w:pStyle w:val="Compact"/>
              <w:jc w:val="left"/>
            </w:pPr>
            <w:r>
              <w:t xml:space="preserve">yes (marginal)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0.136</w:t>
            </w:r>
          </w:p>
        </w:tc>
        <w:tc>
          <w:p>
            <w:pPr>
              <w:pStyle w:val="Compact"/>
              <w:jc w:val="left"/>
            </w:pPr>
            <w:r>
              <w:t xml:space="preserve">0.011 [−0.023, 0.041]</w:t>
            </w:r>
          </w:p>
        </w:tc>
        <w:tc>
          <w:p>
            <w:pPr>
              <w:pStyle w:val="Compact"/>
              <w:jc w:val="left"/>
            </w:pPr>
            <w:r>
              <w:t xml:space="preserve">0.614</w:t>
            </w:r>
          </w:p>
        </w:tc>
        <w:tc>
          <w:p>
            <w:pPr>
              <w:pStyle w:val="Compact"/>
              <w:jc w:val="left"/>
            </w:pPr>
            <w:r>
              <w:t xml:space="preserve">0.223</w:t>
            </w:r>
          </w:p>
        </w:tc>
        <w:tc>
          <w:p>
            <w:pPr>
              <w:pStyle w:val="Compact"/>
              <w:jc w:val="left"/>
            </w:pPr>
            <w:r>
              <w:t xml:space="preserve">2.57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0.135</w:t>
            </w:r>
          </w:p>
        </w:tc>
        <w:tc>
          <w:p>
            <w:pPr>
              <w:pStyle w:val="Compact"/>
              <w:jc w:val="left"/>
            </w:pPr>
            <w:r>
              <w:t xml:space="preserve">0.010 [−0.021, 0.037]</w:t>
            </w:r>
          </w:p>
        </w:tc>
        <w:tc>
          <w:p>
            <w:pPr>
              <w:pStyle w:val="Compact"/>
              <w:jc w:val="left"/>
            </w:pPr>
            <w:r>
              <w:t xml:space="preserve">0.612</w:t>
            </w:r>
          </w:p>
        </w:tc>
        <w:tc>
          <w:p>
            <w:pPr>
              <w:pStyle w:val="Compact"/>
              <w:jc w:val="left"/>
            </w:pPr>
            <w:r>
              <w:t xml:space="preserve">0.221</w:t>
            </w:r>
          </w:p>
        </w:tc>
        <w:tc>
          <w:p>
            <w:pPr>
              <w:pStyle w:val="Compact"/>
              <w:jc w:val="left"/>
            </w:pPr>
            <w:r>
              <w:t xml:space="preserve">2.66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0.112</w:t>
            </w:r>
          </w:p>
        </w:tc>
        <w:tc>
          <w:p>
            <w:pPr>
              <w:pStyle w:val="Compact"/>
              <w:jc w:val="left"/>
            </w:pPr>
            <w:r>
              <w:t xml:space="preserve">−0.005 [−0.033, 0.022]</w:t>
            </w:r>
          </w:p>
        </w:tc>
        <w:tc>
          <w:p>
            <w:pPr>
              <w:pStyle w:val="Compact"/>
              <w:jc w:val="left"/>
            </w:pPr>
            <w:r>
              <w:t xml:space="preserve">0.594</w:t>
            </w:r>
          </w:p>
        </w:tc>
        <w:tc>
          <w:p>
            <w:pPr>
              <w:pStyle w:val="Compact"/>
              <w:jc w:val="left"/>
            </w:pPr>
            <w:r>
              <w:t xml:space="preserve">0.188</w:t>
            </w:r>
          </w:p>
        </w:tc>
        <w:tc>
          <w:p>
            <w:pPr>
              <w:pStyle w:val="Compact"/>
              <w:jc w:val="left"/>
            </w:pPr>
            <w:r>
              <w:t xml:space="preserve">2.82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</w:p>
        </w:tc>
      </w:tr>
    </w:tbl>
    <w:p>
      <w:pPr>
        <w:pStyle w:val="Heading3"/>
      </w:pPr>
      <w:bookmarkStart w:id="54" w:name="j.-extended-predictors-extend-the-skilful-horizon"/>
      <w:bookmarkEnd w:id="54"/>
      <w:r>
        <w:t xml:space="preserve">j. Extended predictors extend the skilful horizon</w:t>
      </w:r>
    </w:p>
    <w:p>
      <w:pPr>
        <w:pStyle w:val="FirstParagraph"/>
      </w:pPr>
      <w:r>
        <w:t xml:space="preserve">The feature-selection analysis recovers a textbook subseasonal predictability transition</w:t>
      </w:r>
      <w:r>
        <w:t xml:space="preserve"> </w:t>
      </w:r>
      <w:r>
        <w:rPr>
          <w:b/>
        </w:rPr>
        <w:t xml:space="preserve">out of</w:t>
      </w:r>
      <w:r>
        <w:rPr>
          <w:b/>
        </w:rPr>
        <w:t xml:space="preserve"> </w:t>
      </w:r>
      <w:r>
        <w:rPr>
          <w:b/>
        </w:rPr>
        <w:t xml:space="preserve">sample</w:t>
      </w:r>
      <w:r>
        <w:t xml:space="preserve">. At short lead (W1–W2) the forecast-Tx statistics and box-mean 850-hPa temperature dominate.</w:t>
      </w:r>
      <w:r>
        <w:t xml:space="preserve"> </w:t>
      </w:r>
      <w:r>
        <w:t xml:space="preserve">At extended range (W3–W6) the forecast's own temperature signal is exhausted and slowly-varying</w:t>
      </w:r>
      <w:r>
        <w:t xml:space="preserve"> </w:t>
      </w:r>
      <w:r>
        <w:t xml:space="preserve">predictors take over:</w:t>
      </w:r>
      <w:r>
        <w:t xml:space="preserve"> </w:t>
      </w:r>
      <w:r>
        <w:rPr>
          <w:b/>
        </w:rPr>
        <w:t xml:space="preserve">ENSO Niño-3.4 is the single most important predictor at W3–W6</w:t>
      </w:r>
      <w:r>
        <w:t xml:space="preserve">, followed by the</w:t>
      </w:r>
      <w:r>
        <w:t xml:space="preserve"> </w:t>
      </w:r>
      <w:r>
        <w:t xml:space="preserve">MJO, 500-hPa circulation, 850-hPa temperature, and antecedent persistence. Notably, soil moisture and</w:t>
      </w:r>
      <w:r>
        <w:t xml:space="preserve"> </w:t>
      </w:r>
      <w:r>
        <w:t xml:space="preserve">soil temperature never clear the importance noise floor at any lead—in this control reforecast,</w:t>
      </w:r>
      <w:r>
        <w:t xml:space="preserve"> </w:t>
      </w:r>
      <w:r>
        <w:t xml:space="preserve">land-surface memory adds little once ENSO, circulation, and persistence are present, a result that</w:t>
      </w:r>
      <w:r>
        <w:t xml:space="preserve"> </w:t>
      </w:r>
      <w:r>
        <w:t xml:space="preserve">contrasts with land-atmosphere-coupling studies elsewhere and merits attention (§5).</w:t>
      </w:r>
    </w:p>
    <w:p>
      <w:pPr>
        <w:pStyle w:val="BodyText"/>
      </w:pPr>
      <w:r>
        <w:t xml:space="preserve">Adding the selected predictors naively raises discrimination at extended range (AUC +0.02 to +0.05,</w:t>
      </w:r>
      <w:r>
        <w:t xml:space="preserve"> </w:t>
      </w:r>
      <w:r>
        <w:t xml:space="preserve">SEDI +0.05 to +0.12 at W3–W6) but degrades the Brier skill score—a sharper-but-less-reliable model,</w:t>
      </w:r>
      <w:r>
        <w:t xml:space="preserve"> </w:t>
      </w:r>
      <w:r>
        <w:t xml:space="preserve">symptomatic of in-sample calibration. Recalibrating out-of-fold and stacking the backbone and selected</w:t>
      </w:r>
      <w:r>
        <w:t xml:space="preserve"> </w:t>
      </w:r>
      <w:r>
        <w:t xml:space="preserve">models converts the discrimination gain into calibrated skill: the stacked model</w:t>
      </w:r>
      <w:r>
        <w:t xml:space="preserve"> </w:t>
      </w:r>
      <w:r>
        <w:rPr>
          <w:b/>
        </w:rPr>
        <w:t xml:space="preserve">beats the</w:t>
      </w:r>
      <w:r>
        <w:rPr>
          <w:b/>
        </w:rPr>
        <w:t xml:space="preserve"> </w:t>
      </w:r>
      <w:r>
        <w:rPr>
          <w:b/>
        </w:rPr>
        <w:t xml:space="preserve">forecast-only backbone at every lead</w:t>
      </w:r>
      <w:r>
        <w:t xml:space="preserve">, with the whole-year bootstrap on the gain excluding zero</w:t>
      </w:r>
      <w:r>
        <w:t xml:space="preserve"> </w:t>
      </w:r>
      <w:r>
        <w:t xml:space="preserve">throughout (Table 9).</w:t>
      </w:r>
    </w:p>
    <w:p>
      <w:pPr>
        <w:pStyle w:val="BodyText"/>
      </w:pPr>
      <w:r>
        <w:rPr>
          <w:b/>
        </w:rPr>
        <w:t xml:space="preserve">Table 9.</w:t>
      </w:r>
      <w:r>
        <w:t xml:space="preserve"> </w:t>
      </w:r>
      <w:r>
        <w:t xml:space="preserve">Out-of-sample skill: forecast-only backbone vs the out-of-fold stacked model (with selected</w:t>
      </w:r>
      <w:r>
        <w:t xml:space="preserve"> </w:t>
      </w:r>
      <w:r>
        <w:t xml:space="preserve">extended predictors).</w:t>
      </w:r>
    </w:p>
    <w:tbl>
      <w:tblPr>
        <w:tblStyle w:val="TableNormal"/>
        <w:tblW w:type="pct" w:w="5000.0"/>
        <w:tblLook w:firstRow="1"/>
      </w:tblPr>
      <w:tblGrid>
        <w:gridCol w:w="674"/>
        <w:gridCol w:w="926"/>
        <w:gridCol w:w="1011"/>
        <w:gridCol w:w="2359"/>
        <w:gridCol w:w="1432"/>
        <w:gridCol w:w="1516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stack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stack−base gain [95 % CI]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AUC base→stack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SEDI base→stack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0.348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0.377</w:t>
            </w:r>
          </w:p>
        </w:tc>
        <w:tc>
          <w:p>
            <w:pPr>
              <w:pStyle w:val="Compact"/>
              <w:jc w:val="left"/>
            </w:pPr>
            <w:r>
              <w:t xml:space="preserve">+0.029 [0.025, 0.034]</w:t>
            </w:r>
          </w:p>
        </w:tc>
        <w:tc>
          <w:p>
            <w:pPr>
              <w:pStyle w:val="Compact"/>
              <w:jc w:val="left"/>
            </w:pPr>
            <w:r>
              <w:t xml:space="preserve">0.842→0.856</w:t>
            </w:r>
          </w:p>
        </w:tc>
        <w:tc>
          <w:p>
            <w:pPr>
              <w:pStyle w:val="Compact"/>
              <w:jc w:val="left"/>
            </w:pPr>
            <w:r>
              <w:t xml:space="preserve">0.674→0.700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0.115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0.142</w:t>
            </w:r>
          </w:p>
        </w:tc>
        <w:tc>
          <w:p>
            <w:pPr>
              <w:pStyle w:val="Compact"/>
              <w:jc w:val="left"/>
            </w:pPr>
            <w:r>
              <w:t xml:space="preserve">+0.027 [0.014, 0.042]</w:t>
            </w:r>
          </w:p>
        </w:tc>
        <w:tc>
          <w:p>
            <w:pPr>
              <w:pStyle w:val="Compact"/>
              <w:jc w:val="left"/>
            </w:pPr>
            <w:r>
              <w:t xml:space="preserve">0.707→0.730</w:t>
            </w:r>
          </w:p>
        </w:tc>
        <w:tc>
          <w:p>
            <w:pPr>
              <w:pStyle w:val="Compact"/>
              <w:jc w:val="left"/>
            </w:pPr>
            <w:r>
              <w:t xml:space="preserve">0.411→0.460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0.039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0.072</w:t>
            </w:r>
          </w:p>
        </w:tc>
        <w:tc>
          <w:p>
            <w:pPr>
              <w:pStyle w:val="Compact"/>
              <w:jc w:val="left"/>
            </w:pPr>
            <w:r>
              <w:t xml:space="preserve">+0.033 [0.015, 0.049]</w:t>
            </w:r>
          </w:p>
        </w:tc>
        <w:tc>
          <w:p>
            <w:pPr>
              <w:pStyle w:val="Compact"/>
              <w:jc w:val="left"/>
            </w:pPr>
            <w:r>
              <w:t xml:space="preserve">0.622→0.658</w:t>
            </w:r>
          </w:p>
        </w:tc>
        <w:tc>
          <w:p>
            <w:pPr>
              <w:pStyle w:val="Compact"/>
              <w:jc w:val="left"/>
            </w:pPr>
            <w:r>
              <w:t xml:space="preserve">0.242→0.307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0.022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0.051</w:t>
            </w:r>
          </w:p>
        </w:tc>
        <w:tc>
          <w:p>
            <w:pPr>
              <w:pStyle w:val="Compact"/>
              <w:jc w:val="left"/>
            </w:pPr>
            <w:r>
              <w:t xml:space="preserve">+0.029 [0.014, 0.043]</w:t>
            </w:r>
          </w:p>
        </w:tc>
        <w:tc>
          <w:p>
            <w:pPr>
              <w:pStyle w:val="Compact"/>
              <w:jc w:val="left"/>
            </w:pPr>
            <w:r>
              <w:t xml:space="preserve">0.582→0.639</w:t>
            </w:r>
          </w:p>
        </w:tc>
        <w:tc>
          <w:p>
            <w:pPr>
              <w:pStyle w:val="Compact"/>
              <w:jc w:val="left"/>
            </w:pPr>
            <w:r>
              <w:t xml:space="preserve">0.173→0.258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0.015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0.053</w:t>
            </w:r>
          </w:p>
        </w:tc>
        <w:tc>
          <w:p>
            <w:pPr>
              <w:pStyle w:val="Compact"/>
              <w:jc w:val="left"/>
            </w:pPr>
            <w:r>
              <w:t xml:space="preserve">+0.038 [0.020, 0.054]</w:t>
            </w:r>
          </w:p>
        </w:tc>
        <w:tc>
          <w:p>
            <w:pPr>
              <w:pStyle w:val="Compact"/>
              <w:jc w:val="left"/>
            </w:pPr>
            <w:r>
              <w:t xml:space="preserve">0.570→0.639</w:t>
            </w:r>
          </w:p>
        </w:tc>
        <w:tc>
          <w:p>
            <w:pPr>
              <w:pStyle w:val="Compact"/>
              <w:jc w:val="left"/>
            </w:pPr>
            <w:r>
              <w:t xml:space="preserve">0.143→0.274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0.011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0.034</w:t>
            </w:r>
          </w:p>
        </w:tc>
        <w:tc>
          <w:p>
            <w:pPr>
              <w:pStyle w:val="Compact"/>
              <w:jc w:val="left"/>
            </w:pPr>
            <w:r>
              <w:t xml:space="preserve">+0.023 [0.011, 0.036]</w:t>
            </w:r>
          </w:p>
        </w:tc>
        <w:tc>
          <w:p>
            <w:pPr>
              <w:pStyle w:val="Compact"/>
              <w:jc w:val="left"/>
            </w:pPr>
            <w:r>
              <w:t xml:space="preserve">0.535→0.608</w:t>
            </w:r>
          </w:p>
        </w:tc>
        <w:tc>
          <w:p>
            <w:pPr>
              <w:pStyle w:val="Compact"/>
              <w:jc w:val="left"/>
            </w:pPr>
            <w:r>
              <w:t xml:space="preserve">0.101→0.215</w:t>
            </w:r>
          </w:p>
        </w:tc>
      </w:tr>
    </w:tbl>
    <w:p>
      <w:pPr>
        <w:pStyle w:val="BodyText"/>
      </w:pPr>
      <w:r>
        <w:t xml:space="preserve">Crucially, an absolute whole-year bootstrap shows the stacked model has</w:t>
      </w:r>
      <w:r>
        <w:t xml:space="preserve"> </w:t>
      </w:r>
      <w:r>
        <w:rPr>
          <w:b/>
        </w:rPr>
        <w:t xml:space="preserve">significant Brier skill over</w:t>
      </w:r>
      <w:r>
        <w:rPr>
          <w:b/>
        </w:rPr>
        <w:t xml:space="preserve"> </w:t>
      </w:r>
      <w:r>
        <w:rPr>
          <w:b/>
        </w:rPr>
        <w:t xml:space="preserve">climatology at every block through W6</w:t>
      </w:r>
      <w:r>
        <w:t xml:space="preserve"> </w:t>
      </w:r>
      <w:r>
        <w:t xml:space="preserve">(W4 0.051 [0.028, 0.069], W5 0.053 [0.030, 0.070], W6 0.034</w:t>
      </w:r>
      <w:r>
        <w:t xml:space="preserve"> </w:t>
      </w:r>
      <w:r>
        <w:t xml:space="preserve">[0.017, 0.048]), whereas the Stage-1 headline lost significance at W4. Two separable effects</w:t>
      </w:r>
      <w:r>
        <w:t xml:space="preserve"> </w:t>
      </w:r>
      <w:r>
        <w:t xml:space="preserve">contribute—the out-of-fold calibration lifts even the backbone marginally, and the selected extended</w:t>
      </w:r>
      <w:r>
        <w:t xml:space="preserve"> </w:t>
      </w:r>
      <w:r>
        <w:t xml:space="preserve">predictors add substantially on top—and together they extend significant extreme-heat probability skill</w:t>
      </w:r>
      <w:r>
        <w:t xml:space="preserve"> </w:t>
      </w:r>
      <w:r>
        <w:t xml:space="preserve">from</w:t>
      </w:r>
      <w:r>
        <w:t xml:space="preserve"> </w:t>
      </w:r>
      <w:r>
        <w:rPr>
          <w:b/>
        </w:rPr>
        <w:t xml:space="preserve">week 3 to week 6</w:t>
      </w:r>
      <w:r>
        <w:t xml:space="preserve">, with the long-lead skill physically sourced from ENSO, the MJO, large-scale</w:t>
      </w:r>
      <w:r>
        <w:t xml:space="preserve"> </w:t>
      </w:r>
      <w:r>
        <w:t xml:space="preserve">circulation, and persistence.</w:t>
      </w:r>
    </w:p>
    <w:p>
      <w:pPr>
        <w:pStyle w:val="Heading3"/>
      </w:pPr>
      <w:bookmarkStart w:id="55" w:name="k.-a-hybrid-zoo-an-error-diverse-stack-and-a-controlled-negative-result-on-spatial-deep-learning"/>
      <w:bookmarkEnd w:id="55"/>
      <w:r>
        <w:t xml:space="preserve">k. A hybrid zoo, an error-diverse stack, and a controlled negative result on spatial deep learning</w:t>
      </w:r>
    </w:p>
    <w:p>
      <w:pPr>
        <w:pStyle w:val="FirstParagraph"/>
      </w:pPr>
      <w:r>
        <w:t xml:space="preserve">Letting the</w:t>
      </w:r>
      <w:r>
        <w:t xml:space="preserve"> </w:t>
      </w:r>
      <w:r>
        <w:rPr>
          <w:b/>
        </w:rPr>
        <w:t xml:space="preserve">full model zoo consume the lead-dependent predictor slice</w:t>
      </w:r>
      <w:r>
        <w:t xml:space="preserve">—adding gradient-boosting</w:t>
      </w:r>
      <w:r>
        <w:t xml:space="preserve"> </w:t>
      </w:r>
      <w:r>
        <w:t xml:space="preserve">diversity (XGBoost, LightGBM) and true spatial deep learning (a residual U-Net alongside the CNN) and</w:t>
      </w:r>
      <w:r>
        <w:t xml:space="preserve"> </w:t>
      </w:r>
      <w:r>
        <w:t xml:space="preserve">combining all thirteen calibrated members with a leakage-safe logistic stack—yields a stack with</w:t>
      </w:r>
      <w:r>
        <w:t xml:space="preserve"> </w:t>
      </w:r>
      <w:r>
        <w:rPr>
          <w:b/>
        </w:rPr>
        <w:t xml:space="preserve">positive Brier skill at every lead that equals or beats the best single member throughout</w:t>
      </w:r>
      <w:r>
        <w:t xml:space="preserve">, extending</w:t>
      </w:r>
      <w:r>
        <w:t xml:space="preserve"> </w:t>
      </w:r>
      <w:r>
        <w:t xml:space="preserve">the horizon further at long lead (W4 0.051→0.071, W5 0.053→0.062, W6 0.034→0.058) and adding a</w:t>
      </w:r>
      <w:r>
        <w:t xml:space="preserve"> </w:t>
      </w:r>
      <w:r>
        <w:t xml:space="preserve">substantial short-lead gain (W1 0.377→0.431; Table 10).</w:t>
      </w:r>
    </w:p>
    <w:p>
      <w:pPr>
        <w:pStyle w:val="BodyText"/>
      </w:pPr>
      <w:r>
        <w:rPr>
          <w:b/>
        </w:rPr>
        <w:t xml:space="preserve">Table 10.</w:t>
      </w:r>
      <w:r>
        <w:t xml:space="preserve"> </w:t>
      </w:r>
      <w:r>
        <w:t xml:space="preserve">Thirteen-member calibrated stack, out-of-sample BSS versus climatology, with the best</w:t>
      </w:r>
      <w:r>
        <w:t xml:space="preserve"> </w:t>
      </w:r>
      <w:r>
        <w:t xml:space="preserve">single member at each lead.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 rate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best single member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ens_stack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ens_mean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ens_stack SEDI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0.431</w:t>
            </w:r>
          </w:p>
        </w:tc>
        <w:tc>
          <w:p>
            <w:pPr>
              <w:pStyle w:val="Compact"/>
              <w:jc w:val="left"/>
            </w:pPr>
            <w:r>
              <w:t xml:space="preserve">resunet 0.421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0.431</w:t>
            </w:r>
          </w:p>
        </w:tc>
        <w:tc>
          <w:p>
            <w:pPr>
              <w:pStyle w:val="Compact"/>
              <w:jc w:val="left"/>
            </w:pPr>
            <w:r>
              <w:t xml:space="preserve">0.383</w:t>
            </w:r>
          </w:p>
        </w:tc>
        <w:tc>
          <w:p>
            <w:pPr>
              <w:pStyle w:val="Compact"/>
              <w:jc w:val="left"/>
            </w:pPr>
            <w:r>
              <w:t xml:space="preserve">0.747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xgb / cnn 0.140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0.157</w:t>
            </w:r>
          </w:p>
        </w:tc>
        <w:tc>
          <w:p>
            <w:pPr>
              <w:pStyle w:val="Compact"/>
              <w:jc w:val="left"/>
            </w:pPr>
            <w:r>
              <w:t xml:space="preserve">0.140</w:t>
            </w:r>
          </w:p>
        </w:tc>
        <w:tc>
          <w:p>
            <w:pPr>
              <w:pStyle w:val="Compact"/>
              <w:jc w:val="left"/>
            </w:pPr>
            <w:r>
              <w:t xml:space="preserve">0.487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logistic 0.076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0.087</w:t>
            </w:r>
          </w:p>
        </w:tc>
        <w:tc>
          <w:p>
            <w:pPr>
              <w:pStyle w:val="Compact"/>
              <w:jc w:val="left"/>
            </w:pPr>
            <w:r>
              <w:t xml:space="preserve">0.078</w:t>
            </w:r>
          </w:p>
        </w:tc>
        <w:tc>
          <w:p>
            <w:pPr>
              <w:pStyle w:val="Compact"/>
              <w:jc w:val="left"/>
            </w:pPr>
            <w:r>
              <w:t xml:space="preserve">0.356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logistic 0.066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0.071</w:t>
            </w:r>
          </w:p>
        </w:tc>
        <w:tc>
          <w:p>
            <w:pPr>
              <w:pStyle w:val="Compact"/>
              <w:jc w:val="left"/>
            </w:pPr>
            <w:r>
              <w:t xml:space="preserve">0.062</w:t>
            </w:r>
          </w:p>
        </w:tc>
        <w:tc>
          <w:p>
            <w:pPr>
              <w:pStyle w:val="Compact"/>
              <w:jc w:val="left"/>
            </w:pPr>
            <w:r>
              <w:t xml:space="preserve">0.320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logistic 0.058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0.062</w:t>
            </w:r>
          </w:p>
        </w:tc>
        <w:tc>
          <w:p>
            <w:pPr>
              <w:pStyle w:val="Compact"/>
              <w:jc w:val="left"/>
            </w:pPr>
            <w:r>
              <w:t xml:space="preserve">0.058</w:t>
            </w:r>
          </w:p>
        </w:tc>
        <w:tc>
          <w:p>
            <w:pPr>
              <w:pStyle w:val="Compact"/>
              <w:jc w:val="left"/>
            </w:pPr>
            <w:r>
              <w:t xml:space="preserve">0.323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0.331</w:t>
            </w:r>
          </w:p>
        </w:tc>
        <w:tc>
          <w:p>
            <w:pPr>
              <w:pStyle w:val="Compact"/>
              <w:jc w:val="left"/>
            </w:pPr>
            <w:r>
              <w:t xml:space="preserve">logistic 0.053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0.058</w:t>
            </w:r>
          </w:p>
        </w:tc>
        <w:tc>
          <w:p>
            <w:pPr>
              <w:pStyle w:val="Compact"/>
              <w:jc w:val="left"/>
            </w:pPr>
            <w:r>
              <w:t xml:space="preserve">0.053</w:t>
            </w:r>
          </w:p>
        </w:tc>
        <w:tc>
          <w:p>
            <w:pPr>
              <w:pStyle w:val="Compact"/>
              <w:jc w:val="left"/>
            </w:pPr>
            <w:r>
              <w:t xml:space="preserve">0.296</w:t>
            </w:r>
          </w:p>
        </w:tc>
      </w:tr>
    </w:tbl>
    <w:p>
      <w:pPr>
        <w:pStyle w:val="BodyText"/>
      </w:pPr>
      <w:r>
        <w:t xml:space="preserve">The single-member ranking is itself a physical result.</w:t>
      </w:r>
      <w:r>
        <w:t xml:space="preserve"> </w:t>
      </w:r>
      <w:r>
        <w:rPr>
          <w:b/>
        </w:rPr>
        <w:t xml:space="preserve">At short lead the flexible members win</w:t>
      </w:r>
      <w:r>
        <w:t xml:space="preserve">:</w:t>
      </w:r>
      <w:r>
        <w:t xml:space="preserve"> </w:t>
      </w:r>
      <w:r>
        <w:t xml:space="preserve">gradient boosting leads the tabular families (W1 BSS lgbm 0.372, hgb 0.367 vs logistic 0.249) and the</w:t>
      </w:r>
      <w:r>
        <w:t xml:space="preserve"> </w:t>
      </w:r>
      <w:r>
        <w:t xml:space="preserve">spatial deep-learning members are best of all (resunet 0.421, cnn 0.409), exploiting the strong,</w:t>
      </w:r>
      <w:r>
        <w:t xml:space="preserve"> </w:t>
      </w:r>
      <w:r>
        <w:t xml:space="preserve">spatially-structured forecast-temperature signal near initialisation.</w:t>
      </w:r>
      <w:r>
        <w:t xml:space="preserve"> </w:t>
      </w:r>
      <w:r>
        <w:rPr>
          <w:b/>
        </w:rPr>
        <w:t xml:space="preserve">At extended range plain logistic</w:t>
      </w:r>
      <w:r>
        <w:rPr>
          <w:b/>
        </w:rPr>
        <w:t xml:space="preserve"> </w:t>
      </w:r>
      <w:r>
        <w:rPr>
          <w:b/>
        </w:rPr>
        <w:t xml:space="preserve">regression on the large-scale predictors is the single best family</w:t>
      </w:r>
      <w:r>
        <w:t xml:space="preserve"> </w:t>
      </w:r>
      <w:r>
        <w:t xml:space="preserve">(W3–W6 BSS 0.076, 0.066, 0.058,</w:t>
      </w:r>
      <w:r>
        <w:t xml:space="preserve"> </w:t>
      </w:r>
      <w:r>
        <w:t xml:space="preserve">0.053) because the boosting trees overfit the weak teleconnection signal. Error-diversity diagnostics</w:t>
      </w:r>
      <w:r>
        <w:t xml:space="preserve"> </w:t>
      </w:r>
      <w:r>
        <w:t xml:space="preserve">explain why the stack helps unevenly: the residual U-Net is the most decorrelated member at short lead</w:t>
      </w:r>
      <w:r>
        <w:t xml:space="preserve"> </w:t>
      </w:r>
      <w:r>
        <w:t xml:space="preserve">(mean absolute error-correlation 0.87 vs ~0.95 for the trees) and the only member with a clearly</w:t>
      </w:r>
      <w:r>
        <w:t xml:space="preserve"> </w:t>
      </w:r>
      <w:r>
        <w:t xml:space="preserve">positive leave-one-out contribution (W1 ΔBSS +0.020), whereas at long lead the tabular members are</w:t>
      </w:r>
      <w:r>
        <w:t xml:space="preserve"> </w:t>
      </w:r>
      <w:r>
        <w:t xml:space="preserve">near-redundant (error-correlation ~0.98) and an L1-sparse stack collapses onto the single logistic</w:t>
      </w:r>
      <w:r>
        <w:t xml:space="preserve"> </w:t>
      </w:r>
      <w:r>
        <w:t xml:space="preserve">member. The two deeper networks—the feature-tokenizer Transformer and the deep MLP—are BSS-negative at</w:t>
      </w:r>
      <w:r>
        <w:t xml:space="preserve"> </w:t>
      </w:r>
      <w:r>
        <w:t xml:space="preserve">long lead and are excluded from production.</w:t>
      </w:r>
    </w:p>
    <w:p>
      <w:pPr>
        <w:pStyle w:val="BodyText"/>
      </w:pPr>
      <w:r>
        <w:t xml:space="preserve">Finally, we test directly whether resolving</w:t>
      </w:r>
      <w:r>
        <w:t xml:space="preserve"> </w:t>
      </w:r>
      <w:r>
        <w:rPr>
          <w:b/>
        </w:rPr>
        <w:t xml:space="preserve">real large-scale spatial patterns</w:t>
      </w:r>
      <w:r>
        <w:t xml:space="preserve"> </w:t>
      </w:r>
      <w:r>
        <w:t xml:space="preserve">adds skill. The</w:t>
      </w:r>
      <w:r>
        <w:t xml:space="preserve"> </w:t>
      </w:r>
      <w:r>
        <w:t xml:space="preserve">two-branch full-field network (§3e), which consumes the actual Z500, T850, and upper-level winds as</w:t>
      </w:r>
      <w:r>
        <w:t xml:space="preserve"> </w:t>
      </w:r>
      <w:r>
        <w:t xml:space="preserve">spatial fields over the extended domain rather than as broadcast box-mean indices, is scored</w:t>
      </w:r>
      <w:r>
        <w:t xml:space="preserve"> </w:t>
      </w:r>
      <w:r>
        <w:t xml:space="preserve">out-of-sample against the box-index residual U-Net baseline. It is</w:t>
      </w:r>
      <w:r>
        <w:t xml:space="preserve"> </w:t>
      </w:r>
      <w:r>
        <w:rPr>
          <w:b/>
        </w:rPr>
        <w:t xml:space="preserve">statistically indistinguishable</w:t>
      </w:r>
      <w:r>
        <w:rPr>
          <w:b/>
        </w:rPr>
        <w:t xml:space="preserve"> </w:t>
      </w:r>
      <w:r>
        <w:rPr>
          <w:b/>
        </w:rPr>
        <w:t xml:space="preserve">from—and marginally below—the baseline at every lead</w:t>
      </w:r>
      <w:r>
        <w:t xml:space="preserve"> </w:t>
      </w:r>
      <w:r>
        <w:t xml:space="preserve">(ΔBSS ≈ 0 to −0.03, ΔSEDI ≈ 0 to −0.04; Table</w:t>
      </w:r>
      <w:r>
        <w:t xml:space="preserve"> </w:t>
      </w:r>
      <w:r>
        <w:t xml:space="preserve">11). This clean</w:t>
      </w:r>
      <w:r>
        <w:t xml:space="preserve"> </w:t>
      </w:r>
      <w:r>
        <w:rPr>
          <w:b/>
        </w:rPr>
        <w:t xml:space="preserve">negative result</w:t>
      </w:r>
      <w:r>
        <w:t xml:space="preserve"> </w:t>
      </w:r>
      <w:r>
        <w:t xml:space="preserve">indicates that, for this predictand, the discriminative signal is</w:t>
      </w:r>
      <w:r>
        <w:t xml:space="preserve"> </w:t>
      </w:r>
      <w:r>
        <w:t xml:space="preserve">carried by the</w:t>
      </w:r>
      <w:r>
        <w:t xml:space="preserve"> </w:t>
      </w:r>
      <w:r>
        <w:rPr>
          <w:i/>
        </w:rPr>
        <w:t xml:space="preserve">local grid-cell forecast value</w:t>
      </w:r>
      <w:r>
        <w:t xml:space="preserve">, not by the large-scale spatial</w:t>
      </w:r>
      <w:r>
        <w:t xml:space="preserve"> </w:t>
      </w:r>
      <w:r>
        <w:rPr>
          <w:i/>
        </w:rPr>
        <w:t xml:space="preserve">morphology</w:t>
      </w:r>
      <w:r>
        <w:t xml:space="preserve"> </w:t>
      </w:r>
      <w:r>
        <w:t xml:space="preserve">of the</w:t>
      </w:r>
      <w:r>
        <w:t xml:space="preserve"> </w:t>
      </w:r>
      <w:r>
        <w:t xml:space="preserve">extended domain; the box-index simplification therefore costs no skill, and the full-field network is</w:t>
      </w:r>
      <w:r>
        <w:t xml:space="preserve"> </w:t>
      </w:r>
      <w:r>
        <w:t xml:space="preserve">not merged into the production stack.</w:t>
      </w:r>
    </w:p>
    <w:p>
      <w:pPr>
        <w:pStyle w:val="BodyText"/>
      </w:pPr>
      <w:r>
        <w:rPr>
          <w:b/>
        </w:rPr>
        <w:t xml:space="preserve">Table 11.</w:t>
      </w:r>
      <w:r>
        <w:t xml:space="preserve"> </w:t>
      </w:r>
      <w:r>
        <w:t xml:space="preserve">True-spatial full-field network vs box-index residual U-Net (out-of-sample), by lead.</w:t>
      </w:r>
    </w:p>
    <w:tbl>
      <w:tblPr>
        <w:tblStyle w:val="TableNormal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full-field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box-index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Δ BSS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full-field SEDI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box-index SEDI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Δ SEDI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W1</w:t>
            </w:r>
          </w:p>
        </w:tc>
        <w:tc>
          <w:p>
            <w:pPr>
              <w:pStyle w:val="Compact"/>
              <w:jc w:val="left"/>
            </w:pPr>
            <w:r>
              <w:t xml:space="preserve">0.392</w:t>
            </w:r>
          </w:p>
        </w:tc>
        <w:tc>
          <w:p>
            <w:pPr>
              <w:pStyle w:val="Compact"/>
              <w:jc w:val="left"/>
            </w:pPr>
            <w:r>
              <w:t xml:space="preserve">0.421</w:t>
            </w:r>
          </w:p>
        </w:tc>
        <w:tc>
          <w:p>
            <w:pPr>
              <w:pStyle w:val="Compact"/>
              <w:jc w:val="left"/>
            </w:pPr>
            <w:r>
              <w:t xml:space="preserve">−0.028</w:t>
            </w:r>
          </w:p>
        </w:tc>
        <w:tc>
          <w:p>
            <w:pPr>
              <w:pStyle w:val="Compact"/>
              <w:jc w:val="left"/>
            </w:pPr>
            <w:r>
              <w:t xml:space="preserve">0.723</w:t>
            </w:r>
          </w:p>
        </w:tc>
        <w:tc>
          <w:p>
            <w:pPr>
              <w:pStyle w:val="Compact"/>
              <w:jc w:val="left"/>
            </w:pPr>
            <w:r>
              <w:t xml:space="preserve">0.740</w:t>
            </w:r>
          </w:p>
        </w:tc>
        <w:tc>
          <w:p>
            <w:pPr>
              <w:pStyle w:val="Compact"/>
              <w:jc w:val="left"/>
            </w:pPr>
            <w:r>
              <w:t xml:space="preserve">−0.017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W2</w:t>
            </w:r>
          </w:p>
        </w:tc>
        <w:tc>
          <w:p>
            <w:pPr>
              <w:pStyle w:val="Compact"/>
              <w:jc w:val="left"/>
            </w:pPr>
            <w:r>
              <w:t xml:space="preserve">0.139</w:t>
            </w:r>
          </w:p>
        </w:tc>
        <w:tc>
          <w:p>
            <w:pPr>
              <w:pStyle w:val="Compact"/>
              <w:jc w:val="left"/>
            </w:pPr>
            <w:r>
              <w:t xml:space="preserve">0.139</w:t>
            </w:r>
          </w:p>
        </w:tc>
        <w:tc>
          <w:p>
            <w:pPr>
              <w:pStyle w:val="Compact"/>
              <w:jc w:val="left"/>
            </w:pPr>
            <w:r>
              <w:t xml:space="preserve">−0.000</w:t>
            </w:r>
          </w:p>
        </w:tc>
        <w:tc>
          <w:p>
            <w:pPr>
              <w:pStyle w:val="Compact"/>
              <w:jc w:val="left"/>
            </w:pPr>
            <w:r>
              <w:t xml:space="preserve">0.456</w:t>
            </w:r>
          </w:p>
        </w:tc>
        <w:tc>
          <w:p>
            <w:pPr>
              <w:pStyle w:val="Compact"/>
              <w:jc w:val="left"/>
            </w:pPr>
            <w:r>
              <w:t xml:space="preserve">0.477</w:t>
            </w:r>
          </w:p>
        </w:tc>
        <w:tc>
          <w:p>
            <w:pPr>
              <w:pStyle w:val="Compact"/>
              <w:jc w:val="left"/>
            </w:pPr>
            <w:r>
              <w:t xml:space="preserve">−0.021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W3</w:t>
            </w:r>
          </w:p>
        </w:tc>
        <w:tc>
          <w:p>
            <w:pPr>
              <w:pStyle w:val="Compact"/>
              <w:jc w:val="left"/>
            </w:pPr>
            <w:r>
              <w:t xml:space="preserve">0.079</w:t>
            </w:r>
          </w:p>
        </w:tc>
        <w:tc>
          <w:p>
            <w:pPr>
              <w:pStyle w:val="Compact"/>
              <w:jc w:val="left"/>
            </w:pPr>
            <w:r>
              <w:t xml:space="preserve">0.078</w:t>
            </w:r>
          </w:p>
        </w:tc>
        <w:tc>
          <w:p>
            <w:pPr>
              <w:pStyle w:val="Compact"/>
              <w:jc w:val="left"/>
            </w:pPr>
            <w:r>
              <w:t xml:space="preserve">+0.001</w:t>
            </w:r>
          </w:p>
        </w:tc>
        <w:tc>
          <w:p>
            <w:pPr>
              <w:pStyle w:val="Compact"/>
              <w:jc w:val="left"/>
            </w:pPr>
            <w:r>
              <w:t xml:space="preserve">0.356</w:t>
            </w:r>
          </w:p>
        </w:tc>
        <w:tc>
          <w:p>
            <w:pPr>
              <w:pStyle w:val="Compact"/>
              <w:jc w:val="left"/>
            </w:pPr>
            <w:r>
              <w:t xml:space="preserve">0.342</w:t>
            </w:r>
          </w:p>
        </w:tc>
        <w:tc>
          <w:p>
            <w:pPr>
              <w:pStyle w:val="Compact"/>
              <w:jc w:val="left"/>
            </w:pPr>
            <w:r>
              <w:t xml:space="preserve">+0.013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W4</w:t>
            </w:r>
          </w:p>
        </w:tc>
        <w:tc>
          <w:p>
            <w:pPr>
              <w:pStyle w:val="Compact"/>
              <w:jc w:val="left"/>
            </w:pPr>
            <w:r>
              <w:t xml:space="preserve">0.050</w:t>
            </w:r>
          </w:p>
        </w:tc>
        <w:tc>
          <w:p>
            <w:pPr>
              <w:pStyle w:val="Compact"/>
              <w:jc w:val="left"/>
            </w:pPr>
            <w:r>
              <w:t xml:space="preserve">0.052</w:t>
            </w:r>
          </w:p>
        </w:tc>
        <w:tc>
          <w:p>
            <w:pPr>
              <w:pStyle w:val="Compact"/>
              <w:jc w:val="left"/>
            </w:pPr>
            <w:r>
              <w:t xml:space="preserve">−0.001</w:t>
            </w:r>
          </w:p>
        </w:tc>
        <w:tc>
          <w:p>
            <w:pPr>
              <w:pStyle w:val="Compact"/>
              <w:jc w:val="left"/>
            </w:pPr>
            <w:r>
              <w:t xml:space="preserve">0.290</w:t>
            </w:r>
          </w:p>
        </w:tc>
        <w:tc>
          <w:p>
            <w:pPr>
              <w:pStyle w:val="Compact"/>
              <w:jc w:val="left"/>
            </w:pPr>
            <w:r>
              <w:t xml:space="preserve">0.303</w:t>
            </w:r>
          </w:p>
        </w:tc>
        <w:tc>
          <w:p>
            <w:pPr>
              <w:pStyle w:val="Compact"/>
              <w:jc w:val="left"/>
            </w:pPr>
            <w:r>
              <w:t xml:space="preserve">−0.013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W5</w:t>
            </w:r>
          </w:p>
        </w:tc>
        <w:tc>
          <w:p>
            <w:pPr>
              <w:pStyle w:val="Compact"/>
              <w:jc w:val="left"/>
            </w:pPr>
            <w:r>
              <w:t xml:space="preserve">0.042</w:t>
            </w:r>
          </w:p>
        </w:tc>
        <w:tc>
          <w:p>
            <w:pPr>
              <w:pStyle w:val="Compact"/>
              <w:jc w:val="left"/>
            </w:pPr>
            <w:r>
              <w:t xml:space="preserve">0.046</w:t>
            </w:r>
          </w:p>
        </w:tc>
        <w:tc>
          <w:p>
            <w:pPr>
              <w:pStyle w:val="Compact"/>
              <w:jc w:val="left"/>
            </w:pPr>
            <w:r>
              <w:t xml:space="preserve">−0.005</w:t>
            </w:r>
          </w:p>
        </w:tc>
        <w:tc>
          <w:p>
            <w:pPr>
              <w:pStyle w:val="Compact"/>
              <w:jc w:val="left"/>
            </w:pPr>
            <w:r>
              <w:t xml:space="preserve">0.263</w:t>
            </w:r>
          </w:p>
        </w:tc>
        <w:tc>
          <w:p>
            <w:pPr>
              <w:pStyle w:val="Compact"/>
              <w:jc w:val="left"/>
            </w:pPr>
            <w:r>
              <w:t xml:space="preserve">0.307</w:t>
            </w:r>
          </w:p>
        </w:tc>
        <w:tc>
          <w:p>
            <w:pPr>
              <w:pStyle w:val="Compact"/>
              <w:jc w:val="left"/>
            </w:pPr>
            <w:r>
              <w:t xml:space="preserve">−0.043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W6</w:t>
            </w:r>
          </w:p>
        </w:tc>
        <w:tc>
          <w:p>
            <w:pPr>
              <w:pStyle w:val="Compact"/>
              <w:jc w:val="left"/>
            </w:pPr>
            <w:r>
              <w:t xml:space="preserve">0.044</w:t>
            </w:r>
          </w:p>
        </w:tc>
        <w:tc>
          <w:p>
            <w:pPr>
              <w:pStyle w:val="Compact"/>
              <w:jc w:val="left"/>
            </w:pPr>
            <w:r>
              <w:t xml:space="preserve">0.052</w:t>
            </w:r>
          </w:p>
        </w:tc>
        <w:tc>
          <w:p>
            <w:pPr>
              <w:pStyle w:val="Compact"/>
              <w:jc w:val="left"/>
            </w:pPr>
            <w:r>
              <w:t xml:space="preserve">−0.007</w:t>
            </w:r>
          </w:p>
        </w:tc>
        <w:tc>
          <w:p>
            <w:pPr>
              <w:pStyle w:val="Compact"/>
              <w:jc w:val="left"/>
            </w:pPr>
            <w:r>
              <w:t xml:space="preserve">0.264</w:t>
            </w:r>
          </w:p>
        </w:tc>
        <w:tc>
          <w:p>
            <w:pPr>
              <w:pStyle w:val="Compact"/>
              <w:jc w:val="left"/>
            </w:pPr>
            <w:r>
              <w:t xml:space="preserve">0.290</w:t>
            </w:r>
          </w:p>
        </w:tc>
        <w:tc>
          <w:p>
            <w:pPr>
              <w:pStyle w:val="Compact"/>
              <w:jc w:val="left"/>
            </w:pPr>
            <w:r>
              <w:t xml:space="preserve">−0.026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56" w:name="discussion"/>
      <w:bookmarkEnd w:id="56"/>
      <w:r>
        <w:t xml:space="preserve">5. Discussion</w:t>
      </w:r>
    </w:p>
    <w:p>
      <w:pPr>
        <w:pStyle w:val="FirstParagraph"/>
      </w:pPr>
      <w:r>
        <w:rPr>
          <w:b/>
        </w:rPr>
        <w:t xml:space="preserve">Two horizons: forecast-driven and predictor-driven.</w:t>
      </w:r>
      <w:r>
        <w:t xml:space="preserve"> </w:t>
      </w:r>
      <w:r>
        <w:t xml:space="preserve">Using only the forecast temperature, a</w:t>
      </w:r>
      <w:r>
        <w:t xml:space="preserve"> </w:t>
      </w:r>
      <w:r>
        <w:t xml:space="preserve">single-member S2S reforecast—after proper calibration—yields</w:t>
      </w:r>
      <w:r>
        <w:t xml:space="preserve"> </w:t>
      </w:r>
      <w:r>
        <w:rPr>
          <w:i/>
        </w:rPr>
        <w:t xml:space="preserve">significant</w:t>
      </w:r>
      <w:r>
        <w:t xml:space="preserve"> </w:t>
      </w:r>
      <w:r>
        <w:t xml:space="preserve">probabilistic skill for</w:t>
      </w:r>
      <w:r>
        <w:t xml:space="preserve"> </w:t>
      </w:r>
      <w:r>
        <w:t xml:space="preserve">extreme-heat days to about week 3 on the national average; four independent lines of evidence (the</w:t>
      </w:r>
      <w:r>
        <w:t xml:space="preserve"> </w:t>
      </w:r>
      <w:r>
        <w:t xml:space="preserve">primary BSS, the binary discrimination scores, the secondary heat-wave target, and the model zoo) agree</w:t>
      </w:r>
      <w:r>
        <w:t xml:space="preserve"> </w:t>
      </w:r>
      <w:r>
        <w:t xml:space="preserve">that this forecast-only horizon closes near W3–W4, a</w:t>
      </w:r>
      <w:r>
        <w:t xml:space="preserve"> </w:t>
      </w:r>
      <w:r>
        <w:rPr>
          <w:i/>
        </w:rPr>
        <w:t xml:space="preserve">predictability</w:t>
      </w:r>
      <w:r>
        <w:t xml:space="preserve"> </w:t>
      </w:r>
      <w:r>
        <w:t xml:space="preserve">limit rather than a calibrator</w:t>
      </w:r>
      <w:r>
        <w:t xml:space="preserve"> </w:t>
      </w:r>
      <w:r>
        <w:t xml:space="preserve">shortfall. The feature-selection analysis then shows</w:t>
      </w:r>
      <w:r>
        <w:t xml:space="preserve"> </w:t>
      </w:r>
      <w:r>
        <w:rPr>
          <w:i/>
        </w:rPr>
        <w:t xml:space="preserve">why</w:t>
      </w:r>
      <w:r>
        <w:t xml:space="preserve"> </w:t>
      </w:r>
      <w:r>
        <w:t xml:space="preserve">and</w:t>
      </w:r>
      <w:r>
        <w:t xml:space="preserve"> </w:t>
      </w:r>
      <w:r>
        <w:rPr>
          <w:i/>
        </w:rPr>
        <w:t xml:space="preserve">how far it can be pushed</w:t>
      </w:r>
      <w:r>
        <w:t xml:space="preserve">: past week 3</w:t>
      </w:r>
      <w:r>
        <w:t xml:space="preserve"> </w:t>
      </w:r>
      <w:r>
        <w:t xml:space="preserve">the forecast's own temperature signal is exhausted and the residual predictability lives in</w:t>
      </w:r>
      <w:r>
        <w:t xml:space="preserve"> </w:t>
      </w:r>
      <w:r>
        <w:t xml:space="preserve">slowly-varying boundary and large-scale states—ENSO foremost, then the MJO, the 500-hPa flow, and</w:t>
      </w:r>
      <w:r>
        <w:t xml:space="preserve"> </w:t>
      </w:r>
      <w:r>
        <w:t xml:space="preserve">antecedent persistence. Supplying those predictors and calibrating them out-of-fold extends significant</w:t>
      </w:r>
      <w:r>
        <w:t xml:space="preserve"> </w:t>
      </w:r>
      <w:r>
        <w:t xml:space="preserve">skill to week 6, so the operational horizon is not fixed but depends on whether the slow predictors are</w:t>
      </w:r>
      <w:r>
        <w:t xml:space="preserve"> </w:t>
      </w:r>
      <w:r>
        <w:t xml:space="preserve">used. This lead-dependent transition mirrors the sources of subseasonal heatwave skill documented for</w:t>
      </w:r>
      <w:r>
        <w:t xml:space="preserve"> </w:t>
      </w:r>
      <w:r>
        <w:t xml:space="preserve">the Yangtze River Basin, India, West Africa, and Europe, and places the Indochina/Vietnam case—where</w:t>
      </w:r>
      <w:r>
        <w:t xml:space="preserve"> </w:t>
      </w:r>
      <w:r>
        <w:t xml:space="preserve">the ENSO signal is strong—within that broader literature.</w:t>
      </w:r>
    </w:p>
    <w:p>
      <w:pPr>
        <w:pStyle w:val="BodyText"/>
      </w:pPr>
      <w:r>
        <w:rPr>
          <w:b/>
        </w:rPr>
        <w:t xml:space="preserve">Where and when the product is most trustworthy.</w:t>
      </w:r>
      <w:r>
        <w:t xml:space="preserve"> </w:t>
      </w:r>
      <w:r>
        <w:t xml:space="preserve">Consistent with the physics, skill persists further</w:t>
      </w:r>
      <w:r>
        <w:t xml:space="preserve"> </w:t>
      </w:r>
      <w:r>
        <w:t xml:space="preserve">where predictability is intrinsically higher—the tropical south and the pre-monsoon MAM season—which is</w:t>
      </w:r>
      <w:r>
        <w:t xml:space="preserve"> </w:t>
      </w:r>
      <w:r>
        <w:t xml:space="preserve">operationally the most useful place for it to persist, since MAM is when heat is most consequential in</w:t>
      </w:r>
      <w:r>
        <w:t xml:space="preserve"> </w:t>
      </w:r>
      <w:r>
        <w:t xml:space="preserve">the populous north-central regions. The strong ENSO control on Indochina heat is the plausible physical</w:t>
      </w:r>
      <w:r>
        <w:t xml:space="preserve"> </w:t>
      </w:r>
      <w:r>
        <w:t xml:space="preserve">basis for the extended-range skill, and connects the statistical result to the known synoptic and</w:t>
      </w:r>
      <w:r>
        <w:t xml:space="preserve"> </w:t>
      </w:r>
      <w:r>
        <w:t xml:space="preserve">teleconnection controls on heat over the peninsula.</w:t>
      </w:r>
    </w:p>
    <w:p>
      <w:pPr>
        <w:pStyle w:val="BodyText"/>
      </w:pPr>
      <w:r>
        <w:rPr>
          <w:b/>
        </w:rPr>
        <w:t xml:space="preserve">The land-surface null.</w:t>
      </w:r>
      <w:r>
        <w:t xml:space="preserve"> </w:t>
      </w:r>
      <w:r>
        <w:t xml:space="preserve">Unlike several land-atmosphere-coupling studies that find soil-moisture</w:t>
      </w:r>
      <w:r>
        <w:t xml:space="preserve"> </w:t>
      </w:r>
      <w:r>
        <w:t xml:space="preserve">memory a key subseasonal heat predictor, our selected soil-moisture and soil-temperature candidates</w:t>
      </w:r>
      <w:r>
        <w:t xml:space="preserve"> </w:t>
      </w:r>
      <w:r>
        <w:t xml:space="preserve">never clear the out-of-sample importance floor. We interpret this cautiously: the predictors here are</w:t>
      </w:r>
      <w:r>
        <w:t xml:space="preserve"> </w:t>
      </w:r>
      <w:r>
        <w:rPr>
          <w:i/>
        </w:rPr>
        <w:t xml:space="preserve">control-reforecast</w:t>
      </w:r>
      <w:r>
        <w:t xml:space="preserve"> </w:t>
      </w:r>
      <w:r>
        <w:t xml:space="preserve">soil states (themselves model products with their own drift), not observed or</w:t>
      </w:r>
      <w:r>
        <w:t xml:space="preserve"> </w:t>
      </w:r>
      <w:r>
        <w:t xml:space="preserve">data-assimilated soil moisture, and the ENSO/persistence predictors may already absorb much of the</w:t>
      </w:r>
      <w:r>
        <w:t xml:space="preserve"> </w:t>
      </w:r>
      <w:r>
        <w:t xml:space="preserve">low-frequency variance. This is a limitation of the available data rather than evidence against</w:t>
      </w:r>
      <w:r>
        <w:t xml:space="preserve"> </w:t>
      </w:r>
      <w:r>
        <w:t xml:space="preserve">land-surface coupling per se.</w:t>
      </w:r>
    </w:p>
    <w:p>
      <w:pPr>
        <w:pStyle w:val="BodyText"/>
      </w:pPr>
      <w:r>
        <w:rPr>
          <w:b/>
        </w:rPr>
        <w:t xml:space="preserve">Calibration is essential; ensembles help modestly; spatial morphology does not.</w:t>
      </w:r>
      <w:r>
        <w:t xml:space="preserve"> </w:t>
      </w:r>
      <w:r>
        <w:t xml:space="preserve">The raw</w:t>
      </w:r>
      <w:r>
        <w:t xml:space="preserve"> </w:t>
      </w:r>
      <w:r>
        <w:t xml:space="preserve">block-exceedance probability is badly miscalibrated, and every trainable family beats it by a large</w:t>
      </w:r>
      <w:r>
        <w:t xml:space="preserve"> </w:t>
      </w:r>
      <w:r>
        <w:t xml:space="preserve">margin—calibration, not model choice, is what makes the product usable. Combining models adds a further,</w:t>
      </w:r>
      <w:r>
        <w:t xml:space="preserve"> </w:t>
      </w:r>
      <w:r>
        <w:t xml:space="preserve">small increment at short lead via stacking, but at long lead the single CNN is as good as any</w:t>
      </w:r>
      <w:r>
        <w:t xml:space="preserve"> </w:t>
      </w:r>
      <w:r>
        <w:t xml:space="preserve">combination. And resolving true large-scale spatial fields, rather than broadcasting box-mean indices,</w:t>
      </w:r>
      <w:r>
        <w:t xml:space="preserve"> </w:t>
      </w:r>
      <w:r>
        <w:t xml:space="preserve">does not help at all (§4k): the discriminative content is local. Each of these is a</w:t>
      </w:r>
      <w:r>
        <w:t xml:space="preserve"> </w:t>
      </w:r>
      <w:r>
        <w:rPr>
          <w:i/>
        </w:rPr>
        <w:t xml:space="preserve">negative</w:t>
      </w:r>
      <w:r>
        <w:t xml:space="preserve"> </w:t>
      </w:r>
      <w:r>
        <w:t xml:space="preserve">or</w:t>
      </w:r>
      <w:r>
        <w:t xml:space="preserve"> </w:t>
      </w:r>
      <w:r>
        <w:rPr>
          <w:i/>
        </w:rPr>
        <w:t xml:space="preserve">bounded</w:t>
      </w:r>
      <w:r>
        <w:t xml:space="preserve"> </w:t>
      </w:r>
      <w:r>
        <w:t xml:space="preserve">result that we report rather than obscure, because each is directly useful to a duty</w:t>
      </w:r>
      <w:r>
        <w:t xml:space="preserve"> </w:t>
      </w:r>
      <w:r>
        <w:t xml:space="preserve">forecaster deciding where to spend effort.</w:t>
      </w:r>
    </w:p>
    <w:p>
      <w:pPr>
        <w:pStyle w:val="BodyText"/>
      </w:pPr>
      <w:r>
        <w:rPr>
          <w:b/>
        </w:rPr>
        <w:t xml:space="preserve">Aggregation buys skill.</w:t>
      </w:r>
      <w:r>
        <w:t xml:space="preserve"> </w:t>
      </w:r>
      <w:r>
        <w:t xml:space="preserve">Moving from a per-cell binary decision to a region×week event forecast</w:t>
      </w:r>
      <w:r>
        <w:t xml:space="preserve"> </w:t>
      </w:r>
      <w:r>
        <w:t xml:space="preserve">recovers substantial skill by averaging out cell-scale noise, and is the recommended operational</w:t>
      </w:r>
      <w:r>
        <w:t xml:space="preserve"> </w:t>
      </w:r>
      <w:r>
        <w:t xml:space="preserve">presentation for extended leads.</w:t>
      </w:r>
    </w:p>
    <w:p>
      <w:pPr>
        <w:pStyle w:val="BodyText"/>
      </w:pPr>
      <w:r>
        <w:rPr>
          <w:b/>
        </w:rPr>
        <w:t xml:space="preserve">Limitations.</w:t>
      </w:r>
      <w:r>
        <w:t xml:space="preserve"> </w:t>
      </w:r>
      <w:r>
        <w:t xml:space="preserve">(1) The reforecast is control-only, so probabilities come from single-member MOS, not</w:t>
      </w:r>
      <w:r>
        <w:t xml:space="preserve"> </w:t>
      </w:r>
      <w:r>
        <w:t xml:space="preserve">ensemble spread, and no real-time ensemble uncertainty is exploited in training. (2) The reforecast is</w:t>
      </w:r>
      <w:r>
        <w:t xml:space="preserve"> </w:t>
      </w:r>
      <w:r>
        <w:t xml:space="preserve">delivered pre-interpolated to 0.25°, so an upstream interpolation error is baked in and no downscaling</w:t>
      </w:r>
      <w:r>
        <w:t xml:space="preserve"> </w:t>
      </w:r>
      <w:r>
        <w:t xml:space="preserve">is performed. (3) A systematic gridded-vs-station warm offset means point-scale EHD risk exceeds the</w:t>
      </w:r>
      <w:r>
        <w:t xml:space="preserve"> </w:t>
      </w:r>
      <w:r>
        <w:t xml:space="preserve">gridded product by 2–5× in frequency; the product is a gridded, not point, statement. (4) The long-lead</w:t>
      </w:r>
      <w:r>
        <w:t xml:space="preserve"> </w:t>
      </w:r>
      <w:r>
        <w:t xml:space="preserve">binary flag over-forecasts (frequency bias &gt; 1) and must be read together with the probability and the</w:t>
      </w:r>
      <w:r>
        <w:t xml:space="preserve"> </w:t>
      </w:r>
      <w:r>
        <w:t xml:space="preserve">scores. (5) The heat-wave product is verified but not yet embedded in the operational NetCDF. (6)</w:t>
      </w:r>
      <w:r>
        <w:t xml:space="preserve"> </w:t>
      </w:r>
      <w:r>
        <w:t xml:space="preserve">Real-time deployment must feed a single control member built identically to the reforecast; if a</w:t>
      </w:r>
      <w:r>
        <w:t xml:space="preserve"> </w:t>
      </w:r>
      <w:r>
        <w:t xml:space="preserve">real-time ensemble is issued it must be reduced to the control/mean, and any model-version mismatch</w:t>
      </w:r>
      <w:r>
        <w:t xml:space="preserve"> </w:t>
      </w:r>
      <w:r>
        <w:t xml:space="preserve">documented.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7" w:name="conclusions"/>
      <w:bookmarkEnd w:id="57"/>
      <w:r>
        <w:t xml:space="preserve">6. Conclusions</w:t>
      </w:r>
    </w:p>
    <w:p>
      <w:pPr>
        <w:pStyle w:val="FirstParagraph"/>
      </w:pPr>
      <w:r>
        <w:t xml:space="preserve">We have built and leakage-audited a calibrated S2S probability forecast of extreme-heat days over</w:t>
      </w:r>
      <w:r>
        <w:t xml:space="preserve"> </w:t>
      </w:r>
      <w:r>
        <w:t xml:space="preserve">Vietnam from a control-only reforecast. The main findings are:</w:t>
      </w:r>
    </w:p>
    <w:p>
      <w:pPr>
        <w:pStyle w:val="Compact"/>
        <w:numPr>
          <w:numId w:val="1002"/>
          <w:ilvl w:val="0"/>
        </w:numPr>
      </w:pPr>
      <w:r>
        <w:t xml:space="preserve">Using only the forecast temperature, the calibrated product has statistically significant Brier skill</w:t>
      </w:r>
      <w:r>
        <w:t xml:space="preserve"> </w:t>
      </w:r>
      <w:r>
        <w:t xml:space="preserve">over climatology to</w:t>
      </w:r>
      <w:r>
        <w:t xml:space="preserve"> </w:t>
      </w:r>
      <w:r>
        <w:rPr>
          <w:b/>
        </w:rPr>
        <w:t xml:space="preserve">week 3</w:t>
      </w:r>
      <w:r>
        <w:t xml:space="preserve">, longer in the tropical south (to W3–W4) and in the MAM season (to</w:t>
      </w:r>
      <w:r>
        <w:t xml:space="preserve"> </w:t>
      </w:r>
      <w:r>
        <w:t xml:space="preserve">W6), and is far better calibrated than the raw model (BSS vs raw +0.28 to +0.52).</w:t>
      </w:r>
    </w:p>
    <w:p>
      <w:pPr>
        <w:pStyle w:val="Compact"/>
        <w:numPr>
          <w:numId w:val="1002"/>
          <w:ilvl w:val="0"/>
        </w:numPr>
      </w:pPr>
      <w:r>
        <w:t xml:space="preserve">Among predictand formulations,</w:t>
      </w:r>
      <w:r>
        <w:t xml:space="preserve"> </w:t>
      </w:r>
      <w:r>
        <w:rPr>
          <w:b/>
        </w:rPr>
        <w:t xml:space="preserve">direct event classification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severity regression</w:t>
      </w:r>
      <w:r>
        <w:t xml:space="preserve"> </w:t>
      </w:r>
      <w:r>
        <w:t xml:space="preserve">perform</w:t>
      </w:r>
      <w:r>
        <w:t xml:space="preserve"> </w:t>
      </w:r>
      <w:r>
        <w:t xml:space="preserve">comparably, and the easy-negative</w:t>
      </w:r>
      <w:r>
        <w:t xml:space="preserve"> </w:t>
      </w:r>
      <w:r>
        <w:rPr>
          <w:b/>
        </w:rPr>
        <w:t xml:space="preserve">cascade</w:t>
      </w:r>
      <w:r>
        <w:t xml:space="preserve"> </w:t>
      </w:r>
      <w:r>
        <w:t xml:space="preserve">is skill-neutral; the severity variable is retained for</w:t>
      </w:r>
      <w:r>
        <w:t xml:space="preserve"> </w:t>
      </w:r>
      <w:r>
        <w:t xml:space="preserve">interpretability and ensemble diversity rather than for a headline gain.</w:t>
      </w:r>
    </w:p>
    <w:p>
      <w:pPr>
        <w:pStyle w:val="Compact"/>
        <w:numPr>
          <w:numId w:val="1002"/>
          <w:ilvl w:val="0"/>
        </w:numPr>
      </w:pPr>
      <w:r>
        <w:t xml:space="preserve">A leakage-safe</w:t>
      </w:r>
      <w:r>
        <w:t xml:space="preserve"> </w:t>
      </w:r>
      <w:r>
        <w:rPr>
          <w:b/>
        </w:rPr>
        <w:t xml:space="preserve">feature-selection</w:t>
      </w:r>
      <w:r>
        <w:t xml:space="preserve"> </w:t>
      </w:r>
      <w:r>
        <w:t xml:space="preserve">analysis identifies the sources of extended-range predictability</w:t>
      </w:r>
      <w:r>
        <w:t xml:space="preserve"> </w:t>
      </w:r>
      <w:r>
        <w:t xml:space="preserve">—</w:t>
      </w:r>
      <w:r>
        <w:rPr>
          <w:b/>
        </w:rPr>
        <w:t xml:space="preserve">ENSO foremost at weeks 3–6</w:t>
      </w:r>
      <w:r>
        <w:t xml:space="preserve">, then the MJO, 500-hPa circulation, 850-hPa temperature, and</w:t>
      </w:r>
      <w:r>
        <w:t xml:space="preserve"> </w:t>
      </w:r>
      <w:r>
        <w:t xml:space="preserve">antecedent persistence, with land-surface memory contributing little in this control reforecast—and</w:t>
      </w:r>
      <w:r>
        <w:t xml:space="preserve"> </w:t>
      </w:r>
      <w:r>
        <w:t xml:space="preserve">shows that supplying these predictors with out-of-fold calibration and stacking</w:t>
      </w:r>
      <w:r>
        <w:t xml:space="preserve"> </w:t>
      </w:r>
      <w:r>
        <w:rPr>
          <w:b/>
        </w:rPr>
        <w:t xml:space="preserve">extends significant</w:t>
      </w:r>
      <w:r>
        <w:rPr>
          <w:b/>
        </w:rPr>
        <w:t xml:space="preserve"> </w:t>
      </w:r>
      <w:r>
        <w:rPr>
          <w:b/>
        </w:rPr>
        <w:t xml:space="preserve">skill from week 3 to week 6</w:t>
      </w:r>
      <w:r>
        <w:t xml:space="preserve">.</w:t>
      </w:r>
    </w:p>
    <w:p>
      <w:pPr>
        <w:pStyle w:val="Compact"/>
        <w:numPr>
          <w:numId w:val="1002"/>
          <w:ilvl w:val="0"/>
        </w:numPr>
      </w:pPr>
      <w:r>
        <w:t xml:space="preserve">A</w:t>
      </w:r>
      <w:r>
        <w:t xml:space="preserve"> </w:t>
      </w:r>
      <w:r>
        <w:rPr>
          <w:b/>
        </w:rPr>
        <w:t xml:space="preserve">stacked ensemble</w:t>
      </w:r>
      <w:r>
        <w:t xml:space="preserve"> </w:t>
      </w:r>
      <w:r>
        <w:t xml:space="preserve">is best at short lead, a</w:t>
      </w:r>
      <w:r>
        <w:t xml:space="preserve"> </w:t>
      </w:r>
      <w:r>
        <w:rPr>
          <w:b/>
        </w:rPr>
        <w:t xml:space="preserve">deep network</w:t>
      </w:r>
      <w:r>
        <w:t xml:space="preserve"> </w:t>
      </w:r>
      <w:r>
        <w:t xml:space="preserve">is the strongest single model at</w:t>
      </w:r>
      <w:r>
        <w:t xml:space="preserve"> </w:t>
      </w:r>
      <w:r>
        <w:t xml:space="preserve">extended range, a transparent</w:t>
      </w:r>
      <w:r>
        <w:t xml:space="preserve"> </w:t>
      </w:r>
      <w:r>
        <w:rPr>
          <w:b/>
        </w:rPr>
        <w:t xml:space="preserve">vote ensemble</w:t>
      </w:r>
      <w:r>
        <w:t xml:space="preserve"> </w:t>
      </w:r>
      <w:r>
        <w:t xml:space="preserve">roughly matches the best single member, and a</w:t>
      </w:r>
      <w:r>
        <w:t xml:space="preserve"> </w:t>
      </w:r>
      <w:r>
        <w:rPr>
          <w:b/>
        </w:rPr>
        <w:t xml:space="preserve">region×week</w:t>
      </w:r>
      <w:r>
        <w:t xml:space="preserve"> </w:t>
      </w:r>
      <w:r>
        <w:t xml:space="preserve">aggregation is the most skilful and most operationally robust presentation.</w:t>
      </w:r>
    </w:p>
    <w:p>
      <w:pPr>
        <w:pStyle w:val="Compact"/>
        <w:numPr>
          <w:numId w:val="1002"/>
          <w:ilvl w:val="0"/>
        </w:numPr>
      </w:pPr>
      <w:r>
        <w:t xml:space="preserve">Resolving</w:t>
      </w:r>
      <w:r>
        <w:t xml:space="preserve"> </w:t>
      </w:r>
      <w:r>
        <w:rPr>
          <w:b/>
        </w:rPr>
        <w:t xml:space="preserve">true large-scale spatial fields</w:t>
      </w:r>
      <w:r>
        <w:t xml:space="preserve"> </w:t>
      </w:r>
      <w:r>
        <w:t xml:space="preserve">does not improve on broadcast box-mean indices—a clean</w:t>
      </w:r>
      <w:r>
        <w:t xml:space="preserve"> </w:t>
      </w:r>
      <w:r>
        <w:t xml:space="preserve">negative result locating the discriminative signal at the grid-cell scale.</w:t>
      </w:r>
    </w:p>
    <w:p>
      <w:pPr>
        <w:pStyle w:val="FirstParagraph"/>
      </w:pPr>
      <w:r>
        <w:t xml:space="preserve">The system is delivered as a CF-compliant gridded product with an independently re-derived headline and</w:t>
      </w:r>
      <w:r>
        <w:t xml:space="preserve"> </w:t>
      </w:r>
      <w:r>
        <w:t xml:space="preserve">a fully reproducible, leakage-audited pipeline; its horizon—short from the forecast alone, longer once</w:t>
      </w:r>
      <w:r>
        <w:t xml:space="preserve"> </w:t>
      </w:r>
      <w:r>
        <w:t xml:space="preserve">slow predictors are used—is reported as the scientific result rather than obscured. Future work should</w:t>
      </w:r>
      <w:r>
        <w:t xml:space="preserve"> </w:t>
      </w:r>
      <w:r>
        <w:t xml:space="preserve">target a genuine reforecast</w:t>
      </w:r>
      <w:r>
        <w:t xml:space="preserve"> </w:t>
      </w:r>
      <w:r>
        <w:rPr>
          <w:b/>
        </w:rPr>
        <w:t xml:space="preserve">ensemble</w:t>
      </w:r>
      <w:r>
        <w:t xml:space="preserve"> </w:t>
      </w:r>
      <w:r>
        <w:t xml:space="preserve">(to recover spread-based uncertainty),</w:t>
      </w:r>
      <w:r>
        <w:t xml:space="preserve"> </w:t>
      </w:r>
      <w:r>
        <w:rPr>
          <w:b/>
        </w:rPr>
        <w:t xml:space="preserve">observed</w:t>
      </w:r>
      <w:r>
        <w:t xml:space="preserve"> </w:t>
      </w:r>
      <w:r>
        <w:t xml:space="preserve">land-surface</w:t>
      </w:r>
      <w:r>
        <w:t xml:space="preserve"> </w:t>
      </w:r>
      <w:r>
        <w:t xml:space="preserve">and humidity predictors (to revisit the land-surface null and to move towards a heat-</w:t>
      </w:r>
      <w:r>
        <w:rPr>
          <w:i/>
        </w:rPr>
        <w:t xml:space="preserve">stress</w:t>
      </w:r>
      <w:r>
        <w:t xml:space="preserve"> </w:t>
      </w:r>
      <w:r>
        <w:t xml:space="preserve">rather</w:t>
      </w:r>
      <w:r>
        <w:t xml:space="preserve"> </w:t>
      </w:r>
      <w:r>
        <w:t xml:space="preserve">than heat-</w:t>
      </w:r>
      <w:r>
        <w:rPr>
          <w:i/>
        </w:rPr>
        <w:t xml:space="preserve">temperature</w:t>
      </w:r>
      <w:r>
        <w:t xml:space="preserve"> </w:t>
      </w:r>
      <w:r>
        <w:t xml:space="preserve">target), and formal down-scaling to reconcile the gridded product with</w:t>
      </w:r>
      <w:r>
        <w:t xml:space="preserve"> </w:t>
      </w:r>
      <w:r>
        <w:t xml:space="preserve">point-scale exposure.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8" w:name="data-and-code-availability"/>
      <w:bookmarkEnd w:id="58"/>
      <w:r>
        <w:t xml:space="preserve">Data and code availability</w:t>
      </w:r>
    </w:p>
    <w:p>
      <w:pPr>
        <w:pStyle w:val="FirstParagraph"/>
      </w:pPr>
      <w:r>
        <w:t xml:space="preserve">The forecast and observation archives are read-only institutional data (ECMWF S2S reforecast; gridded</w:t>
      </w:r>
      <w:r>
        <w:t xml:space="preserve"> </w:t>
      </w:r>
      <w:r>
        <w:t xml:space="preserve">and station observed</w:t>
      </w:r>
      <w:r>
        <w:t xml:space="preserve"> </w:t>
      </w:r>
      <w:r>
        <w:rPr>
          <w:rStyle w:val="VerbatimChar"/>
        </w:rPr>
        <w:t xml:space="preserve">Tx</w:t>
      </w:r>
      <w:r>
        <w:t xml:space="preserve"> </w:t>
      </w:r>
      <w:r>
        <w:t xml:space="preserve">for Vietnam). All code, configuration, intermediate out-of-sample predictions,</w:t>
      </w:r>
      <w:r>
        <w:t xml:space="preserve"> </w:t>
      </w:r>
      <w:r>
        <w:t xml:space="preserve">score tables, and figures are in the project repository; each quantitative claim in this manuscript maps</w:t>
      </w:r>
      <w:r>
        <w:t xml:space="preserve"> </w:t>
      </w:r>
      <w:r>
        <w:t xml:space="preserve">to a named file and producing script in the Evidence pack (</w:t>
      </w:r>
      <w:r>
        <w:rPr>
          <w:rStyle w:val="VerbatimChar"/>
        </w:rPr>
        <w:t xml:space="preserve">docs/RESULTS_REPORT.md</w:t>
      </w:r>
      <w:r>
        <w:t xml:space="preserve"> </w:t>
      </w:r>
      <w:r>
        <w:t xml:space="preserve">§13). Key artefacts:</w:t>
      </w:r>
      <w:r>
        <w:t xml:space="preserve"> </w:t>
      </w:r>
      <w:r>
        <w:t xml:space="preserve">LOYO out-of-sample predictions (</w:t>
      </w:r>
      <w:r>
        <w:rPr>
          <w:rStyle w:val="VerbatimChar"/>
        </w:rPr>
        <w:t xml:space="preserve">outputs/loyo_pred/</w:t>
      </w:r>
      <w:r>
        <w:t xml:space="preserve">,</w:t>
      </w:r>
      <w:r>
        <w:t xml:space="preserve"> </w:t>
      </w:r>
      <w:r>
        <w:rPr>
          <w:rStyle w:val="VerbatimChar"/>
        </w:rPr>
        <w:t xml:space="preserve">outputs/loyo_pred_v2*/</w:t>
      </w:r>
      <w:r>
        <w:t xml:space="preserve">,</w:t>
      </w:r>
      <w:r>
        <w:t xml:space="preserve"> </w:t>
      </w:r>
      <w:r>
        <w:rPr>
          <w:rStyle w:val="VerbatimChar"/>
        </w:rPr>
        <w:t xml:space="preserve">outputs/loyo_pred_v3*/</w:t>
      </w:r>
      <w:r>
        <w:t xml:space="preserve">,</w:t>
      </w:r>
      <w:r>
        <w:t xml:space="preserve"> </w:t>
      </w:r>
      <w:r>
        <w:rPr>
          <w:rStyle w:val="VerbatimChar"/>
        </w:rPr>
        <w:t xml:space="preserve">outputs/loyo_pred_v4ff/</w:t>
      </w:r>
      <w:r>
        <w:t xml:space="preserve">,</w:t>
      </w:r>
      <w:r>
        <w:t xml:space="preserve"> </w:t>
      </w:r>
      <w:r>
        <w:rPr>
          <w:rStyle w:val="VerbatimChar"/>
        </w:rPr>
        <w:t xml:space="preserve">outputs/loyo_pred_secondary/</w:t>
      </w:r>
      <w:r>
        <w:t xml:space="preserve">); headline and stratified scores</w:t>
      </w:r>
      <w:r>
        <w:t xml:space="preserve"> </w:t>
      </w:r>
      <w:r>
        <w:t xml:space="preserve">(</w:t>
      </w:r>
      <w:r>
        <w:rPr>
          <w:rStyle w:val="VerbatimChar"/>
        </w:rPr>
        <w:t xml:space="preserve">results/tables/cv_scores_by_block.csv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cv_bootstrap_ci.csv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cv_scores_by_region_block.csv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cv_binary_scores_by_block.csv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cv_scores_by_season_block.csv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cv_scores_by_severity_block.csv</w:t>
      </w:r>
      <w:r>
        <w:t xml:space="preserve">);</w:t>
      </w:r>
      <w:r>
        <w:t xml:space="preserve"> </w:t>
      </w:r>
      <w:r>
        <w:t xml:space="preserve">predictor selection (</w:t>
      </w:r>
      <w:r>
        <w:rPr>
          <w:rStyle w:val="VerbatimChar"/>
        </w:rPr>
        <w:t xml:space="preserve">feature_importance_by_block.csv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feature_selection_by_block.csv</w:t>
      </w:r>
      <w:r>
        <w:t xml:space="preserve">); Stage-2/3</w:t>
      </w:r>
      <w:r>
        <w:t xml:space="preserve"> </w:t>
      </w:r>
      <w:r>
        <w:t xml:space="preserve">stack and zoo scores (</w:t>
      </w:r>
      <w:r>
        <w:rPr>
          <w:rStyle w:val="VerbatimChar"/>
        </w:rPr>
        <w:t xml:space="preserve">v3cal_binary_by_block.csv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v3zoo_scores_by_model_block.csv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v3_stack_scores_by_block.csv</w:t>
      </w:r>
      <w:r>
        <w:t xml:space="preserve">); full-field test (</w:t>
      </w:r>
      <w:r>
        <w:rPr>
          <w:rStyle w:val="VerbatimChar"/>
        </w:rPr>
        <w:t xml:space="preserve">v4ff_scores_by_model_block.csv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v4_vs_v3_resunet.csv</w:t>
      </w:r>
      <w:r>
        <w:t xml:space="preserve">); model-zoo and ensemble scores (</w:t>
      </w:r>
      <w:r>
        <w:rPr>
          <w:rStyle w:val="VerbatimChar"/>
        </w:rPr>
        <w:t xml:space="preserve">v2_scores_with_ensemble.csv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v2_single_member_scores_by_block.csv</w:t>
      </w:r>
      <w:r>
        <w:t xml:space="preserve">); vote/regional tables (</w:t>
      </w:r>
      <w:r>
        <w:rPr>
          <w:rStyle w:val="VerbatimChar"/>
        </w:rPr>
        <w:t xml:space="preserve">v6_*</w:t>
      </w:r>
      <w:r>
        <w:t xml:space="preserve">); secondary-target scores</w:t>
      </w:r>
      <w:r>
        <w:t xml:space="preserve"> </w:t>
      </w:r>
      <w:r>
        <w:t xml:space="preserve">(</w:t>
      </w:r>
      <w:r>
        <w:rPr>
          <w:rStyle w:val="VerbatimChar"/>
        </w:rPr>
        <w:t xml:space="preserve">cv_scores_secondary_by_block.csv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cv_bootstrap_secondary_ci.csv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cv_binary_secondary_by_block.csv</w:t>
      </w:r>
      <w:r>
        <w:t xml:space="preserve">);</w:t>
      </w:r>
      <w:r>
        <w:t xml:space="preserve"> </w:t>
      </w:r>
      <w:r>
        <w:t xml:space="preserve">the operational product (</w:t>
      </w:r>
      <w:r>
        <w:rPr>
          <w:rStyle w:val="VerbatimChar"/>
        </w:rPr>
        <w:t xml:space="preserve">outputs/operational/</w:t>
      </w:r>
      <w:r>
        <w:t xml:space="preserve">,</w:t>
      </w:r>
      <w:r>
        <w:t xml:space="preserve"> </w:t>
      </w:r>
      <w:r>
        <w:rPr>
          <w:rStyle w:val="VerbatimChar"/>
        </w:rPr>
        <w:t xml:space="preserve">outputs/production_model/</w:t>
      </w:r>
      <w:r>
        <w:t xml:space="preserve">); and the independent</w:t>
      </w:r>
      <w:r>
        <w:t xml:space="preserve"> </w:t>
      </w:r>
      <w:r>
        <w:t xml:space="preserve">validator (</w:t>
      </w:r>
      <w:r>
        <w:rPr>
          <w:rStyle w:val="VerbatimChar"/>
        </w:rPr>
        <w:t xml:space="preserve">results/tables/validator_headline_rederivation.csv</w:t>
      </w:r>
      <w:r>
        <w:t xml:space="preserve">).</w:t>
      </w:r>
    </w:p>
    <w:p>
      <w:pPr>
        <w:pStyle w:val="Heading2"/>
      </w:pPr>
      <w:bookmarkStart w:id="59" w:name="author-contributions-funding-competing-interests"/>
      <w:bookmarkEnd w:id="59"/>
      <w:r>
        <w:t xml:space="preserve">Author contributions, funding, competing interests</w:t>
      </w:r>
    </w:p>
    <w:p>
      <w:pPr>
        <w:pStyle w:val="FirstParagraph"/>
      </w:pPr>
      <w:r>
        <w:t xml:space="preserve">[To be completed by the authors.]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60" w:name="references"/>
      <w:bookmarkEnd w:id="60"/>
      <w:r>
        <w:t xml:space="preserve">References</w:t>
      </w:r>
    </w:p>
    <w:p>
      <w:pPr>
        <w:pStyle w:val="FirstParagraph"/>
      </w:pPr>
      <w:r>
        <w:rPr>
          <w:i/>
        </w:rPr>
        <w:t xml:space="preserve">The reference list below collects real, citable works. Entries drawn from the project reference</w:t>
      </w:r>
      <w:r>
        <w:rPr>
          <w:i/>
        </w:rPr>
        <w:t xml:space="preserve"> </w:t>
      </w:r>
      <w:r>
        <w:rPr>
          <w:i/>
        </w:rPr>
        <w:t xml:space="preserve">collection are given with their exact titles; the authors should complete full author lists, volumes,</w:t>
      </w:r>
      <w:r>
        <w:rPr>
          <w:i/>
        </w:rPr>
        <w:t xml:space="preserve"> </w:t>
      </w:r>
      <w:r>
        <w:rPr>
          <w:i/>
        </w:rPr>
        <w:t xml:space="preserve">and page numbers to journal style before submission.</w:t>
      </w:r>
    </w:p>
    <w:p>
      <w:pPr>
        <w:pStyle w:val="BodyText"/>
      </w:pPr>
      <w:r>
        <w:rPr>
          <w:b/>
        </w:rPr>
        <w:t xml:space="preserve">Foundational methods and verification.</w:t>
      </w:r>
    </w:p>
    <w:p>
      <w:pPr>
        <w:pStyle w:val="Compact"/>
        <w:numPr>
          <w:numId w:val="1003"/>
          <w:ilvl w:val="0"/>
        </w:numPr>
      </w:pPr>
      <w:r>
        <w:t xml:space="preserve">Brier, G. W., 1950: Verification of forecasts expressed in terms of probability.</w:t>
      </w:r>
      <w:r>
        <w:t xml:space="preserve"> </w:t>
      </w:r>
      <w:r>
        <w:rPr>
          <w:i/>
        </w:rPr>
        <w:t xml:space="preserve">Mon. Wea. Rev.</w:t>
      </w:r>
      <w:r>
        <w:t xml:space="preserve">,</w:t>
      </w:r>
      <w:r>
        <w:t xml:space="preserve"> </w:t>
      </w:r>
      <w:r>
        <w:rPr>
          <w:b/>
        </w:rPr>
        <w:t xml:space="preserve">78</w:t>
      </w:r>
      <w:r>
        <w:t xml:space="preserve">, 1–3.</w:t>
      </w:r>
    </w:p>
    <w:p>
      <w:pPr>
        <w:pStyle w:val="Compact"/>
        <w:numPr>
          <w:numId w:val="1003"/>
          <w:ilvl w:val="0"/>
        </w:numPr>
      </w:pPr>
      <w:r>
        <w:t xml:space="preserve">Murphy, A. H., 1973: A new vector partition of the probability score.</w:t>
      </w:r>
      <w:r>
        <w:t xml:space="preserve"> </w:t>
      </w:r>
      <w:r>
        <w:rPr>
          <w:i/>
        </w:rPr>
        <w:t xml:space="preserve">J. Appl. Meteor.</w:t>
      </w:r>
      <w:r>
        <w:t xml:space="preserve">,</w:t>
      </w:r>
      <w:r>
        <w:t xml:space="preserve"> </w:t>
      </w:r>
      <w:r>
        <w:rPr>
          <w:b/>
        </w:rPr>
        <w:t xml:space="preserve">12</w:t>
      </w:r>
      <w:r>
        <w:t xml:space="preserve">,</w:t>
      </w:r>
      <w:r>
        <w:t xml:space="preserve"> </w:t>
      </w:r>
      <w:r>
        <w:t xml:space="preserve">595–600.</w:t>
      </w:r>
    </w:p>
    <w:p>
      <w:pPr>
        <w:pStyle w:val="Compact"/>
        <w:numPr>
          <w:numId w:val="1003"/>
          <w:ilvl w:val="0"/>
        </w:numPr>
      </w:pPr>
      <w:r>
        <w:t xml:space="preserve">Gneiting, T., and A. E. Raftery, 2007: Strictly proper scoring rules, prediction, and estimation.</w:t>
      </w:r>
      <w:r>
        <w:t xml:space="preserve"> </w:t>
      </w:r>
      <w:r>
        <w:rPr>
          <w:i/>
        </w:rPr>
        <w:t xml:space="preserve">J. Amer. Statist. Assoc.</w:t>
      </w:r>
      <w:r>
        <w:t xml:space="preserve">,</w:t>
      </w:r>
      <w:r>
        <w:t xml:space="preserve"> </w:t>
      </w:r>
      <w:r>
        <w:rPr>
          <w:b/>
        </w:rPr>
        <w:t xml:space="preserve">102</w:t>
      </w:r>
      <w:r>
        <w:t xml:space="preserve">, 359–378.</w:t>
      </w:r>
    </w:p>
    <w:p>
      <w:pPr>
        <w:pStyle w:val="Compact"/>
        <w:numPr>
          <w:numId w:val="1003"/>
          <w:ilvl w:val="0"/>
        </w:numPr>
      </w:pPr>
      <w:r>
        <w:t xml:space="preserve">Gneiting, T., F. Balabdaoui, and A. E. Raftery, 2007: Probabilistic forecasts, calibration and</w:t>
      </w:r>
      <w:r>
        <w:t xml:space="preserve"> </w:t>
      </w:r>
      <w:r>
        <w:t xml:space="preserve">sharpness.</w:t>
      </w:r>
      <w:r>
        <w:t xml:space="preserve"> </w:t>
      </w:r>
      <w:r>
        <w:rPr>
          <w:i/>
        </w:rPr>
        <w:t xml:space="preserve">J. Roy. Statist. Soc. B</w:t>
      </w:r>
      <w:r>
        <w:t xml:space="preserve">,</w:t>
      </w:r>
      <w:r>
        <w:t xml:space="preserve"> </w:t>
      </w:r>
      <w:r>
        <w:rPr>
          <w:b/>
        </w:rPr>
        <w:t xml:space="preserve">69</w:t>
      </w:r>
      <w:r>
        <w:t xml:space="preserve">, 243–268.</w:t>
      </w:r>
    </w:p>
    <w:p>
      <w:pPr>
        <w:pStyle w:val="Compact"/>
        <w:numPr>
          <w:numId w:val="1003"/>
          <w:ilvl w:val="0"/>
        </w:numPr>
      </w:pPr>
      <w:r>
        <w:t xml:space="preserve">Ferro, C. A. T., and D. B. Stephenson, 2011: Extremal dependence indices: Improved verification</w:t>
      </w:r>
      <w:r>
        <w:t xml:space="preserve"> </w:t>
      </w:r>
      <w:r>
        <w:t xml:space="preserve">measures for deterministic forecasts of rare binary events.</w:t>
      </w:r>
      <w:r>
        <w:t xml:space="preserve"> </w:t>
      </w:r>
      <w:r>
        <w:rPr>
          <w:i/>
        </w:rPr>
        <w:t xml:space="preserve">Wea. Forecasting</w:t>
      </w:r>
      <w:r>
        <w:t xml:space="preserve">,</w:t>
      </w:r>
      <w:r>
        <w:t xml:space="preserve"> </w:t>
      </w:r>
      <w:r>
        <w:rPr>
          <w:b/>
        </w:rPr>
        <w:t xml:space="preserve">26</w:t>
      </w:r>
      <w:r>
        <w:t xml:space="preserve">, 699–713.</w:t>
      </w:r>
    </w:p>
    <w:p>
      <w:pPr>
        <w:pStyle w:val="Compact"/>
        <w:numPr>
          <w:numId w:val="1003"/>
          <w:ilvl w:val="0"/>
        </w:numPr>
      </w:pPr>
      <w:r>
        <w:t xml:space="preserve">Benjamini, Y., and Y. Hochberg, 1995: Controlling the false discovery rate.</w:t>
      </w:r>
      <w:r>
        <w:t xml:space="preserve"> </w:t>
      </w:r>
      <w:r>
        <w:rPr>
          <w:i/>
        </w:rPr>
        <w:t xml:space="preserve">J. Roy. Statist. Soc. B</w:t>
      </w:r>
      <w:r>
        <w:t xml:space="preserve">,</w:t>
      </w:r>
      <w:r>
        <w:t xml:space="preserve"> </w:t>
      </w:r>
      <w:r>
        <w:rPr>
          <w:b/>
        </w:rPr>
        <w:t xml:space="preserve">57</w:t>
      </w:r>
      <w:r>
        <w:t xml:space="preserve">, 289–300.</w:t>
      </w:r>
    </w:p>
    <w:p>
      <w:pPr>
        <w:pStyle w:val="Compact"/>
        <w:numPr>
          <w:numId w:val="1003"/>
          <w:ilvl w:val="0"/>
        </w:numPr>
      </w:pPr>
      <w:r>
        <w:t xml:space="preserve">Zadrozny, B., and C. Elkan, 2002: Transforming classifier scores into accurate multiclass probability</w:t>
      </w:r>
      <w:r>
        <w:t xml:space="preserve"> </w:t>
      </w:r>
      <w:r>
        <w:t xml:space="preserve">estimates.</w:t>
      </w:r>
      <w:r>
        <w:t xml:space="preserve"> </w:t>
      </w:r>
      <w:r>
        <w:rPr>
          <w:i/>
        </w:rPr>
        <w:t xml:space="preserve">Proc. 8th ACM SIGKDD</w:t>
      </w:r>
      <w:r>
        <w:t xml:space="preserve">, 694–699.</w:t>
      </w:r>
    </w:p>
    <w:p>
      <w:pPr>
        <w:pStyle w:val="Compact"/>
        <w:numPr>
          <w:numId w:val="1003"/>
          <w:ilvl w:val="0"/>
        </w:numPr>
      </w:pPr>
      <w:r>
        <w:t xml:space="preserve">Niculescu-Mizil, A., and R. Caruana, 2005: Predicting good probabilities with supervised learning.</w:t>
      </w:r>
      <w:r>
        <w:t xml:space="preserve"> </w:t>
      </w:r>
      <w:r>
        <w:rPr>
          <w:i/>
        </w:rPr>
        <w:t xml:space="preserve">Proc. 22nd ICML</w:t>
      </w:r>
      <w:r>
        <w:t xml:space="preserve">, 625–632.</w:t>
      </w:r>
    </w:p>
    <w:p>
      <w:pPr>
        <w:pStyle w:val="Compact"/>
        <w:numPr>
          <w:numId w:val="1003"/>
          <w:ilvl w:val="0"/>
        </w:numPr>
      </w:pPr>
      <w:r>
        <w:t xml:space="preserve">Wilks, D. S., 2011:</w:t>
      </w:r>
      <w:r>
        <w:t xml:space="preserve"> </w:t>
      </w:r>
      <w:r>
        <w:rPr>
          <w:i/>
        </w:rPr>
        <w:t xml:space="preserve">Statistical Methods in the Atmospheric Sciences.</w:t>
      </w:r>
      <w:r>
        <w:t xml:space="preserve"> </w:t>
      </w:r>
      <w:r>
        <w:t xml:space="preserve">3rd ed. Academic Press, 676 pp.</w:t>
      </w:r>
    </w:p>
    <w:p>
      <w:pPr>
        <w:pStyle w:val="Compact"/>
        <w:numPr>
          <w:numId w:val="1003"/>
          <w:ilvl w:val="0"/>
        </w:numPr>
      </w:pPr>
      <w:r>
        <w:t xml:space="preserve">Vannitsem, S., and Coauthors, 2021: Statistical postprocessing for weather forecasts: Review,</w:t>
      </w:r>
      <w:r>
        <w:t xml:space="preserve"> </w:t>
      </w:r>
      <w:r>
        <w:t xml:space="preserve">challenges, and avenues in a big-data world.</w:t>
      </w:r>
      <w:r>
        <w:t xml:space="preserve"> </w:t>
      </w:r>
      <w:r>
        <w:rPr>
          <w:i/>
        </w:rPr>
        <w:t xml:space="preserve">Bull. Amer. Meteor. Soc.</w:t>
      </w:r>
      <w:r>
        <w:t xml:space="preserve">,</w:t>
      </w:r>
      <w:r>
        <w:t xml:space="preserve"> </w:t>
      </w:r>
      <w:r>
        <w:rPr>
          <w:b/>
        </w:rPr>
        <w:t xml:space="preserve">102</w:t>
      </w:r>
      <w:r>
        <w:t xml:space="preserve">, E681–E699.</w:t>
      </w:r>
    </w:p>
    <w:p>
      <w:pPr>
        <w:pStyle w:val="FirstParagraph"/>
      </w:pPr>
      <w:r>
        <w:rPr>
          <w:b/>
        </w:rPr>
        <w:t xml:space="preserve">Machine-learning and statistical-postprocessing methods.</w:t>
      </w:r>
    </w:p>
    <w:p>
      <w:pPr>
        <w:pStyle w:val="Compact"/>
        <w:numPr>
          <w:numId w:val="1004"/>
          <w:ilvl w:val="0"/>
        </w:numPr>
      </w:pPr>
      <w:r>
        <w:t xml:space="preserve">Breiman, L., 2001: Random forests.</w:t>
      </w:r>
      <w:r>
        <w:t xml:space="preserve"> </w:t>
      </w:r>
      <w:r>
        <w:rPr>
          <w:i/>
        </w:rPr>
        <w:t xml:space="preserve">Mach. Learn.</w:t>
      </w:r>
      <w:r>
        <w:t xml:space="preserve">,</w:t>
      </w:r>
      <w:r>
        <w:t xml:space="preserve"> </w:t>
      </w:r>
      <w:r>
        <w:rPr>
          <w:b/>
        </w:rPr>
        <w:t xml:space="preserve">45</w:t>
      </w:r>
      <w:r>
        <w:t xml:space="preserve">, 5–32.</w:t>
      </w:r>
    </w:p>
    <w:p>
      <w:pPr>
        <w:pStyle w:val="Compact"/>
        <w:numPr>
          <w:numId w:val="1004"/>
          <w:ilvl w:val="0"/>
        </w:numPr>
      </w:pPr>
      <w:r>
        <w:t xml:space="preserve">Chen, T., and C. Guestrin, 2016: XGBoost: A scalable tree boosting system.</w:t>
      </w:r>
      <w:r>
        <w:t xml:space="preserve"> </w:t>
      </w:r>
      <w:r>
        <w:rPr>
          <w:i/>
        </w:rPr>
        <w:t xml:space="preserve">Proc. 22nd ACM SIGKDD</w:t>
      </w:r>
      <w:r>
        <w:t xml:space="preserve">,</w:t>
      </w:r>
      <w:r>
        <w:t xml:space="preserve"> </w:t>
      </w:r>
      <w:r>
        <w:t xml:space="preserve">785–794.</w:t>
      </w:r>
    </w:p>
    <w:p>
      <w:pPr>
        <w:pStyle w:val="Compact"/>
        <w:numPr>
          <w:numId w:val="1004"/>
          <w:ilvl w:val="0"/>
        </w:numPr>
      </w:pPr>
      <w:r>
        <w:t xml:space="preserve">Ke, G., and Coauthors, 2017: LightGBM: A highly efficient gradient boosting decision tree.</w:t>
      </w:r>
      <w:r>
        <w:t xml:space="preserve"> </w:t>
      </w:r>
      <w:r>
        <w:rPr>
          <w:i/>
        </w:rPr>
        <w:t xml:space="preserve">Adv.</w:t>
      </w:r>
      <w:r>
        <w:rPr>
          <w:i/>
        </w:rPr>
        <w:t xml:space="preserve"> </w:t>
      </w:r>
      <w:r>
        <w:rPr>
          <w:i/>
        </w:rPr>
        <w:t xml:space="preserve">Neural Inf. Process. Syst.</w:t>
      </w:r>
      <w:r>
        <w:t xml:space="preserve">,</w:t>
      </w:r>
      <w:r>
        <w:t xml:space="preserve"> </w:t>
      </w:r>
      <w:r>
        <w:rPr>
          <w:b/>
        </w:rPr>
        <w:t xml:space="preserve">30</w:t>
      </w:r>
      <w:r>
        <w:t xml:space="preserve">.</w:t>
      </w:r>
    </w:p>
    <w:p>
      <w:pPr>
        <w:pStyle w:val="Compact"/>
        <w:numPr>
          <w:numId w:val="1004"/>
          <w:ilvl w:val="0"/>
        </w:numPr>
      </w:pPr>
      <w:r>
        <w:t xml:space="preserve">Ronneberger, O., P. Fischer, and T. Brox, 2015: U-Net: Convolutional networks for biomedical image</w:t>
      </w:r>
      <w:r>
        <w:t xml:space="preserve"> </w:t>
      </w:r>
      <w:r>
        <w:t xml:space="preserve">segmentation.</w:t>
      </w:r>
      <w:r>
        <w:t xml:space="preserve"> </w:t>
      </w:r>
      <w:r>
        <w:rPr>
          <w:i/>
        </w:rPr>
        <w:t xml:space="preserve">MICCAI</w:t>
      </w:r>
      <w:r>
        <w:t xml:space="preserve">, 234–241.</w:t>
      </w:r>
    </w:p>
    <w:p>
      <w:pPr>
        <w:pStyle w:val="Compact"/>
        <w:numPr>
          <w:numId w:val="1004"/>
          <w:ilvl w:val="0"/>
        </w:numPr>
      </w:pPr>
      <w:r>
        <w:t xml:space="preserve">Vaswani, A., and Coauthors, 2017: Attention is all you need.</w:t>
      </w:r>
      <w:r>
        <w:t xml:space="preserve"> </w:t>
      </w:r>
      <w:r>
        <w:rPr>
          <w:i/>
        </w:rPr>
        <w:t xml:space="preserve">Adv. Neural Inf. Process. Syst.</w:t>
      </w:r>
      <w:r>
        <w:t xml:space="preserve">,</w:t>
      </w:r>
      <w:r>
        <w:t xml:space="preserve"> </w:t>
      </w:r>
      <w:r>
        <w:rPr>
          <w:b/>
        </w:rPr>
        <w:t xml:space="preserve">30</w:t>
      </w:r>
      <w:r>
        <w:t xml:space="preserve">.</w:t>
      </w:r>
    </w:p>
    <w:p>
      <w:pPr>
        <w:pStyle w:val="Compact"/>
        <w:numPr>
          <w:numId w:val="1004"/>
          <w:ilvl w:val="0"/>
        </w:numPr>
      </w:pPr>
      <w:r>
        <w:t xml:space="preserve">Rasp, S., and S. Lerch, 2018: Neural networks for postprocessing ensemble weather forecasts.</w:t>
      </w:r>
      <w:r>
        <w:t xml:space="preserve"> </w:t>
      </w:r>
      <w:r>
        <w:rPr>
          <w:i/>
        </w:rPr>
        <w:t xml:space="preserve">Mon.</w:t>
      </w:r>
      <w:r>
        <w:rPr>
          <w:i/>
        </w:rPr>
        <w:t xml:space="preserve"> </w:t>
      </w:r>
      <w:r>
        <w:rPr>
          <w:i/>
        </w:rPr>
        <w:t xml:space="preserve">Wea. Rev.</w:t>
      </w:r>
      <w:r>
        <w:t xml:space="preserve">,</w:t>
      </w:r>
      <w:r>
        <w:t xml:space="preserve"> </w:t>
      </w:r>
      <w:r>
        <w:rPr>
          <w:b/>
        </w:rPr>
        <w:t xml:space="preserve">146</w:t>
      </w:r>
      <w:r>
        <w:t xml:space="preserve">, 3885–3900.</w:t>
      </w:r>
    </w:p>
    <w:p>
      <w:pPr>
        <w:pStyle w:val="Compact"/>
        <w:numPr>
          <w:numId w:val="1004"/>
          <w:ilvl w:val="0"/>
        </w:numPr>
      </w:pPr>
      <w:r>
        <w:t xml:space="preserve">Grönquist, P., and Coauthors, 2021: Deep learning for post-processing ensemble weather forecasts.</w:t>
      </w:r>
      <w:r>
        <w:t xml:space="preserve"> </w:t>
      </w:r>
      <w:r>
        <w:rPr>
          <w:i/>
        </w:rPr>
        <w:t xml:space="preserve">Phil. Trans. Roy. Soc. A</w:t>
      </w:r>
      <w:r>
        <w:t xml:space="preserve">,</w:t>
      </w:r>
      <w:r>
        <w:t xml:space="preserve"> </w:t>
      </w:r>
      <w:r>
        <w:rPr>
          <w:b/>
        </w:rPr>
        <w:t xml:space="preserve">379</w:t>
      </w:r>
      <w:r>
        <w:t xml:space="preserve">, 20200092.</w:t>
      </w:r>
    </w:p>
    <w:p>
      <w:pPr>
        <w:pStyle w:val="Compact"/>
        <w:numPr>
          <w:numId w:val="1004"/>
          <w:ilvl w:val="0"/>
        </w:numPr>
      </w:pPr>
      <w:r>
        <w:t xml:space="preserve">Schulz, B., and S. Lerch, 2022: Machine learning methods for postprocessing ensemble forecasts of wind</w:t>
      </w:r>
      <w:r>
        <w:t xml:space="preserve"> </w:t>
      </w:r>
      <w:r>
        <w:t xml:space="preserve">gusts: A systematic comparison.</w:t>
      </w:r>
      <w:r>
        <w:t xml:space="preserve"> </w:t>
      </w:r>
      <w:r>
        <w:rPr>
          <w:i/>
        </w:rPr>
        <w:t xml:space="preserve">Mon. Wea. Rev.</w:t>
      </w:r>
      <w:r>
        <w:t xml:space="preserve">,</w:t>
      </w:r>
      <w:r>
        <w:t xml:space="preserve"> </w:t>
      </w:r>
      <w:r>
        <w:rPr>
          <w:b/>
        </w:rPr>
        <w:t xml:space="preserve">150</w:t>
      </w:r>
      <w:r>
        <w:t xml:space="preserve">, 235–257.</w:t>
      </w:r>
    </w:p>
    <w:p>
      <w:pPr>
        <w:pStyle w:val="FirstParagraph"/>
      </w:pPr>
      <w:r>
        <w:rPr>
          <w:b/>
        </w:rPr>
        <w:t xml:space="preserve">S2S prediction and its sources of skill.</w:t>
      </w:r>
    </w:p>
    <w:p>
      <w:pPr>
        <w:pStyle w:val="Compact"/>
        <w:numPr>
          <w:numId w:val="1005"/>
          <w:ilvl w:val="0"/>
        </w:numPr>
      </w:pPr>
      <w:r>
        <w:t xml:space="preserve">Vitart, F., and Coauthors, 2017: The Subseasonal to Seasonal (S2S) Prediction Project database.</w:t>
      </w:r>
      <w:r>
        <w:t xml:space="preserve"> </w:t>
      </w:r>
      <w:r>
        <w:rPr>
          <w:i/>
        </w:rPr>
        <w:t xml:space="preserve">Bull. Amer. Meteor. Soc.</w:t>
      </w:r>
      <w:r>
        <w:t xml:space="preserve">,</w:t>
      </w:r>
      <w:r>
        <w:t xml:space="preserve"> </w:t>
      </w:r>
      <w:r>
        <w:rPr>
          <w:b/>
        </w:rPr>
        <w:t xml:space="preserve">98</w:t>
      </w:r>
      <w:r>
        <w:t xml:space="preserve">, 163–173.</w:t>
      </w:r>
    </w:p>
    <w:p>
      <w:pPr>
        <w:pStyle w:val="Compact"/>
        <w:numPr>
          <w:numId w:val="1005"/>
          <w:ilvl w:val="0"/>
        </w:numPr>
      </w:pPr>
      <w:r>
        <w:t xml:space="preserve">Vitart, F., 2014: Evolution of ECMWF sub-seasonal forecast skill scores.</w:t>
      </w:r>
      <w:r>
        <w:t xml:space="preserve"> </w:t>
      </w:r>
      <w:r>
        <w:rPr>
          <w:i/>
        </w:rPr>
        <w:t xml:space="preserve">Quart. J. Roy. Meteor.</w:t>
      </w:r>
      <w:r>
        <w:rPr>
          <w:i/>
        </w:rPr>
        <w:t xml:space="preserve"> </w:t>
      </w:r>
      <w:r>
        <w:rPr>
          <w:i/>
        </w:rPr>
        <w:t xml:space="preserve">Soc.</w:t>
      </w:r>
      <w:r>
        <w:t xml:space="preserve">,</w:t>
      </w:r>
      <w:r>
        <w:t xml:space="preserve"> </w:t>
      </w:r>
      <w:r>
        <w:rPr>
          <w:b/>
        </w:rPr>
        <w:t xml:space="preserve">140</w:t>
      </w:r>
      <w:r>
        <w:t xml:space="preserve">, 1889–1899.</w:t>
      </w:r>
    </w:p>
    <w:p>
      <w:pPr>
        <w:pStyle w:val="Compact"/>
        <w:numPr>
          <w:numId w:val="1005"/>
          <w:ilvl w:val="0"/>
        </w:numPr>
      </w:pPr>
      <w:r>
        <w:t xml:space="preserve">White, C. J., and Coauthors, 2017: Potential applications of subseasonal-to-seasonal (S2S)</w:t>
      </w:r>
      <w:r>
        <w:t xml:space="preserve"> </w:t>
      </w:r>
      <w:r>
        <w:t xml:space="preserve">predictions.</w:t>
      </w:r>
      <w:r>
        <w:t xml:space="preserve"> </w:t>
      </w:r>
      <w:r>
        <w:rPr>
          <w:i/>
        </w:rPr>
        <w:t xml:space="preserve">Meteor. Appl.</w:t>
      </w:r>
      <w:r>
        <w:t xml:space="preserve">,</w:t>
      </w:r>
      <w:r>
        <w:t xml:space="preserve"> </w:t>
      </w:r>
      <w:r>
        <w:rPr>
          <w:b/>
        </w:rPr>
        <w:t xml:space="preserve">24</w:t>
      </w:r>
      <w:r>
        <w:t xml:space="preserve">, 315–325.</w:t>
      </w:r>
    </w:p>
    <w:p>
      <w:pPr>
        <w:pStyle w:val="Compact"/>
        <w:numPr>
          <w:numId w:val="1005"/>
          <w:ilvl w:val="0"/>
        </w:numPr>
      </w:pPr>
      <w:r>
        <w:t xml:space="preserve">Robertson, A. W., and Coauthors, 2020: Current and emerging developments in subseasonal to decadal</w:t>
      </w:r>
      <w:r>
        <w:t xml:space="preserve"> </w:t>
      </w:r>
      <w:r>
        <w:t xml:space="preserve">prediction.</w:t>
      </w:r>
      <w:r>
        <w:t xml:space="preserve"> </w:t>
      </w:r>
      <w:r>
        <w:rPr>
          <w:i/>
        </w:rPr>
        <w:t xml:space="preserve">Bull. Amer. Meteor. Soc.</w:t>
      </w:r>
      <w:r>
        <w:t xml:space="preserve">,</w:t>
      </w:r>
      <w:r>
        <w:t xml:space="preserve"> </w:t>
      </w:r>
      <w:r>
        <w:rPr>
          <w:b/>
        </w:rPr>
        <w:t xml:space="preserve">101</w:t>
      </w:r>
      <w:r>
        <w:t xml:space="preserve">, E869–E896.</w:t>
      </w:r>
    </w:p>
    <w:p>
      <w:pPr>
        <w:pStyle w:val="Compact"/>
        <w:numPr>
          <w:numId w:val="1005"/>
          <w:ilvl w:val="0"/>
        </w:numPr>
      </w:pPr>
      <w:r>
        <w:t xml:space="preserve">Madden, R. A., and P. R. Julian, 1971: Detection of a 40–50 day oscillation in the zonal wind in the</w:t>
      </w:r>
      <w:r>
        <w:t xml:space="preserve"> </w:t>
      </w:r>
      <w:r>
        <w:t xml:space="preserve">tropical Pacific.</w:t>
      </w:r>
      <w:r>
        <w:t xml:space="preserve"> </w:t>
      </w:r>
      <w:r>
        <w:rPr>
          <w:i/>
        </w:rPr>
        <w:t xml:space="preserve">J. Atmos. Sci.</w:t>
      </w:r>
      <w:r>
        <w:t xml:space="preserve">,</w:t>
      </w:r>
      <w:r>
        <w:t xml:space="preserve"> </w:t>
      </w:r>
      <w:r>
        <w:rPr>
          <w:b/>
        </w:rPr>
        <w:t xml:space="preserve">28</w:t>
      </w:r>
      <w:r>
        <w:t xml:space="preserve">, 702–708.</w:t>
      </w:r>
    </w:p>
    <w:p>
      <w:pPr>
        <w:pStyle w:val="Compact"/>
        <w:numPr>
          <w:numId w:val="1005"/>
          <w:ilvl w:val="0"/>
        </w:numPr>
      </w:pPr>
      <w:r>
        <w:t xml:space="preserve">Lim, Y., S.-W. Son, and D. Kim, 2018: MJO prediction skill of the subseasonal-to-seasonal prediction</w:t>
      </w:r>
      <w:r>
        <w:t xml:space="preserve"> </w:t>
      </w:r>
      <w:r>
        <w:t xml:space="preserve">models.</w:t>
      </w:r>
      <w:r>
        <w:t xml:space="preserve"> </w:t>
      </w:r>
      <w:r>
        <w:rPr>
          <w:i/>
        </w:rPr>
        <w:t xml:space="preserve">J. Climate</w:t>
      </w:r>
      <w:r>
        <w:t xml:space="preserve">,</w:t>
      </w:r>
      <w:r>
        <w:t xml:space="preserve"> </w:t>
      </w:r>
      <w:r>
        <w:rPr>
          <w:b/>
        </w:rPr>
        <w:t xml:space="preserve">31</w:t>
      </w:r>
      <w:r>
        <w:t xml:space="preserve">, 4075–4094.</w:t>
      </w:r>
    </w:p>
    <w:p>
      <w:pPr>
        <w:pStyle w:val="Compact"/>
        <w:numPr>
          <w:numId w:val="1005"/>
          <w:ilvl w:val="0"/>
        </w:numPr>
      </w:pPr>
      <w:r>
        <w:t xml:space="preserve">Koster, R. D., and Coauthors, 2010: Contribution of land surface initialization to subseasonal</w:t>
      </w:r>
      <w:r>
        <w:t xml:space="preserve"> </w:t>
      </w:r>
      <w:r>
        <w:t xml:space="preserve">forecast skill: First results from a multi-model experiment.</w:t>
      </w:r>
      <w:r>
        <w:t xml:space="preserve"> </w:t>
      </w:r>
      <w:r>
        <w:rPr>
          <w:i/>
        </w:rPr>
        <w:t xml:space="preserve">Geophys. Res. Lett.</w:t>
      </w:r>
      <w:r>
        <w:t xml:space="preserve">,</w:t>
      </w:r>
      <w:r>
        <w:t xml:space="preserve"> </w:t>
      </w:r>
      <w:r>
        <w:rPr>
          <w:b/>
        </w:rPr>
        <w:t xml:space="preserve">37</w:t>
      </w:r>
      <w:r>
        <w:t xml:space="preserve">, L02402.</w:t>
      </w:r>
    </w:p>
    <w:p>
      <w:pPr>
        <w:pStyle w:val="Compact"/>
        <w:numPr>
          <w:numId w:val="1005"/>
          <w:ilvl w:val="0"/>
        </w:numPr>
      </w:pPr>
      <w:r>
        <w:t xml:space="preserve">Miralles, D. G., A. J. Teuling, C. C. van Heerwaarden, and J. Vilà-Guerau de Arellano, 2014:</w:t>
      </w:r>
      <w:r>
        <w:t xml:space="preserve"> </w:t>
      </w:r>
      <w:r>
        <w:t xml:space="preserve">Mega-heatwave temperatures due to combined soil desiccation and atmospheric heat accumulation.</w:t>
      </w:r>
      <w:r>
        <w:t xml:space="preserve"> </w:t>
      </w:r>
      <w:r>
        <w:rPr>
          <w:i/>
        </w:rPr>
        <w:t xml:space="preserve">Nat.</w:t>
      </w:r>
      <w:r>
        <w:rPr>
          <w:i/>
        </w:rPr>
        <w:t xml:space="preserve"> </w:t>
      </w:r>
      <w:r>
        <w:rPr>
          <w:i/>
        </w:rPr>
        <w:t xml:space="preserve">Geosci.</w:t>
      </w:r>
      <w:r>
        <w:t xml:space="preserve">,</w:t>
      </w:r>
      <w:r>
        <w:t xml:space="preserve"> </w:t>
      </w:r>
      <w:r>
        <w:rPr>
          <w:b/>
        </w:rPr>
        <w:t xml:space="preserve">7</w:t>
      </w:r>
      <w:r>
        <w:t xml:space="preserve">, 345–349.</w:t>
      </w:r>
    </w:p>
    <w:p>
      <w:pPr>
        <w:pStyle w:val="FirstParagraph"/>
      </w:pPr>
      <w:r>
        <w:rPr>
          <w:b/>
        </w:rPr>
        <w:t xml:space="preserve">Heat, heatwaves, and their prediction — Vietnam, Southeast Asia, and other regions.</w:t>
      </w:r>
      <w:r>
        <w:t xml:space="preserve"> </w:t>
      </w:r>
      <w:r>
        <w:rPr>
          <w:i/>
        </w:rPr>
        <w:t xml:space="preserve">(Exact titles</w:t>
      </w:r>
      <w:r>
        <w:rPr>
          <w:i/>
        </w:rPr>
        <w:t xml:space="preserve"> </w:t>
      </w:r>
      <w:r>
        <w:rPr>
          <w:i/>
        </w:rPr>
        <w:t xml:space="preserve">from the project reference collection; authors/venues to be completed to journal style.)</w:t>
      </w:r>
    </w:p>
    <w:p>
      <w:pPr>
        <w:pStyle w:val="Compact"/>
        <w:numPr>
          <w:numId w:val="1006"/>
          <w:ilvl w:val="0"/>
        </w:numPr>
      </w:pPr>
      <w:r>
        <w:t xml:space="preserve">Heatwaves in Southeast Asia and their changes in a warmer world.</w:t>
      </w:r>
      <w:r>
        <w:t xml:space="preserve"> </w:t>
      </w:r>
      <w:r>
        <w:rPr>
          <w:i/>
        </w:rPr>
        <w:t xml:space="preserve">Earth's Future</w:t>
      </w:r>
      <w:r>
        <w:t xml:space="preserve">, 2021.</w:t>
      </w:r>
    </w:p>
    <w:p>
      <w:pPr>
        <w:pStyle w:val="Compact"/>
        <w:numPr>
          <w:numId w:val="1006"/>
          <w:ilvl w:val="0"/>
        </w:numPr>
      </w:pPr>
      <w:r>
        <w:t xml:space="preserve">Li, X.-X., 2020: Heat wave trends in Southeast Asia during 1979–2018: The impact of humidity.</w:t>
      </w:r>
    </w:p>
    <w:p>
      <w:pPr>
        <w:pStyle w:val="Compact"/>
        <w:numPr>
          <w:numId w:val="1006"/>
          <w:ilvl w:val="0"/>
        </w:numPr>
      </w:pPr>
      <w:r>
        <w:t xml:space="preserve">The characterization, mechanism, predictability, and impacts of the unprecedented 2023 Southeast Asia</w:t>
      </w:r>
      <w:r>
        <w:t xml:space="preserve"> </w:t>
      </w:r>
      <w:r>
        <w:t xml:space="preserve">heatwave.</w:t>
      </w:r>
    </w:p>
    <w:p>
      <w:pPr>
        <w:pStyle w:val="Compact"/>
        <w:numPr>
          <w:numId w:val="1006"/>
          <w:ilvl w:val="0"/>
        </w:numPr>
      </w:pPr>
      <w:r>
        <w:t xml:space="preserve">Impacts of El Niño–Southern Oscillation on heat waves in the Indochina Peninsula.</w:t>
      </w:r>
    </w:p>
    <w:p>
      <w:pPr>
        <w:pStyle w:val="Compact"/>
        <w:numPr>
          <w:numId w:val="1006"/>
          <w:ilvl w:val="0"/>
        </w:numPr>
      </w:pPr>
      <w:r>
        <w:t xml:space="preserve">Synoptic characteristics, atmospheric controls, and long-term changes of heat waves over the Indochina</w:t>
      </w:r>
      <w:r>
        <w:t xml:space="preserve"> </w:t>
      </w:r>
      <w:r>
        <w:t xml:space="preserve">Peninsula.</w:t>
      </w:r>
    </w:p>
    <w:p>
      <w:pPr>
        <w:pStyle w:val="Compact"/>
        <w:numPr>
          <w:numId w:val="1006"/>
          <w:ilvl w:val="0"/>
        </w:numPr>
      </w:pPr>
      <w:r>
        <w:t xml:space="preserve">Spatial patterns of health vulnerability to heatwaves in Vietnam.</w:t>
      </w:r>
    </w:p>
    <w:p>
      <w:pPr>
        <w:pStyle w:val="Compact"/>
        <w:numPr>
          <w:numId w:val="1006"/>
          <w:ilvl w:val="0"/>
        </w:numPr>
      </w:pPr>
      <w:r>
        <w:t xml:space="preserve">Spatial distribution and trends of heat stress in Vietnam.</w:t>
      </w:r>
    </w:p>
    <w:p>
      <w:pPr>
        <w:pStyle w:val="Compact"/>
        <w:numPr>
          <w:numId w:val="1006"/>
          <w:ilvl w:val="0"/>
        </w:numPr>
      </w:pPr>
      <w:r>
        <w:t xml:space="preserve">Heat index trends and climate change implications for occupational heat exposure in Da Nang, Vietnam.</w:t>
      </w:r>
    </w:p>
    <w:p>
      <w:pPr>
        <w:pStyle w:val="Compact"/>
        <w:numPr>
          <w:numId w:val="1006"/>
          <w:ilvl w:val="0"/>
        </w:numPr>
      </w:pPr>
      <w:r>
        <w:t xml:space="preserve">Valuation of a heatwave early warning system for mitigating risks associated with heat-related illness</w:t>
      </w:r>
      <w:r>
        <w:t xml:space="preserve"> </w:t>
      </w:r>
      <w:r>
        <w:t xml:space="preserve">in Central Vietnam.</w:t>
      </w:r>
    </w:p>
    <w:p>
      <w:pPr>
        <w:pStyle w:val="Compact"/>
        <w:numPr>
          <w:numId w:val="1006"/>
          <w:ilvl w:val="0"/>
        </w:numPr>
      </w:pPr>
      <w:r>
        <w:t xml:space="preserve">High-resolution dynamically downscaled projections of future extreme temperatures, heatwaves and</w:t>
      </w:r>
      <w:r>
        <w:t xml:space="preserve"> </w:t>
      </w:r>
      <w:r>
        <w:t xml:space="preserve">exposure in Southeast Asia.</w:t>
      </w:r>
    </w:p>
    <w:p>
      <w:pPr>
        <w:pStyle w:val="Compact"/>
        <w:numPr>
          <w:numId w:val="1006"/>
          <w:ilvl w:val="0"/>
        </w:numPr>
      </w:pPr>
      <w:r>
        <w:t xml:space="preserve">Xie, J., and Coauthors, 2020: Sources of subseasonal prediction skill for heatwaves over the Yangtze</w:t>
      </w:r>
      <w:r>
        <w:t xml:space="preserve"> </w:t>
      </w:r>
      <w:r>
        <w:t xml:space="preserve">River Basin revealed from three S2S models.</w:t>
      </w:r>
    </w:p>
    <w:p>
      <w:pPr>
        <w:pStyle w:val="Compact"/>
        <w:numPr>
          <w:numId w:val="1006"/>
          <w:ilvl w:val="0"/>
        </w:numPr>
      </w:pPr>
      <w:r>
        <w:t xml:space="preserve">Mandal, R., and Coauthors, 2025: Heat waves in India: Patterns, associations, and subseasonal</w:t>
      </w:r>
      <w:r>
        <w:t xml:space="preserve"> </w:t>
      </w:r>
      <w:r>
        <w:t xml:space="preserve">prediction skill.</w:t>
      </w:r>
    </w:p>
    <w:p>
      <w:pPr>
        <w:pStyle w:val="Compact"/>
        <w:numPr>
          <w:numId w:val="1006"/>
          <w:ilvl w:val="0"/>
        </w:numPr>
      </w:pPr>
      <w:r>
        <w:t xml:space="preserve">Pan, X., and Coauthors, 2026: Sub-seasonal prediction of extreme high temperature over the Yangtze</w:t>
      </w:r>
      <w:r>
        <w:t xml:space="preserve"> </w:t>
      </w:r>
      <w:r>
        <w:t xml:space="preserve">River Basin based on deep learning.</w:t>
      </w:r>
    </w:p>
    <w:p>
      <w:pPr>
        <w:pStyle w:val="Compact"/>
        <w:numPr>
          <w:numId w:val="1006"/>
          <w:ilvl w:val="0"/>
        </w:numPr>
      </w:pPr>
      <w:r>
        <w:t xml:space="preserve">Subseasonal prediction of central European summer heatwaves with linear and random forest machine</w:t>
      </w:r>
      <w:r>
        <w:t xml:space="preserve"> </w:t>
      </w:r>
      <w:r>
        <w:t xml:space="preserve">learning models.</w:t>
      </w:r>
    </w:p>
    <w:p>
      <w:pPr>
        <w:pStyle w:val="Compact"/>
        <w:numPr>
          <w:numId w:val="1006"/>
          <w:ilvl w:val="0"/>
        </w:numPr>
      </w:pPr>
      <w:r>
        <w:t xml:space="preserve">Pattern-based forecasting enhances the prediction skill of European heatwaves into the sub-seasonal</w:t>
      </w:r>
      <w:r>
        <w:t xml:space="preserve"> </w:t>
      </w:r>
      <w:r>
        <w:t xml:space="preserve">range.</w:t>
      </w:r>
    </w:p>
    <w:p>
      <w:pPr>
        <w:pStyle w:val="Compact"/>
        <w:numPr>
          <w:numId w:val="1006"/>
          <w:ilvl w:val="0"/>
        </w:numPr>
      </w:pPr>
      <w:r>
        <w:t xml:space="preserve">Probabilistic forecasts of extreme heatwaves using convolutional neural networks in a regime of lack</w:t>
      </w:r>
      <w:r>
        <w:t xml:space="preserve"> </w:t>
      </w:r>
      <w:r>
        <w:t xml:space="preserve">of data.</w:t>
      </w:r>
    </w:p>
    <w:p>
      <w:pPr>
        <w:pStyle w:val="Compact"/>
        <w:numPr>
          <w:numId w:val="1006"/>
          <w:ilvl w:val="0"/>
        </w:numPr>
      </w:pPr>
      <w:r>
        <w:t xml:space="preserve">Advancing subseasonal surface air temperature and heat wave prediction skill in China by incorporating</w:t>
      </w:r>
      <w:r>
        <w:t xml:space="preserve"> </w:t>
      </w:r>
      <w:r>
        <w:t xml:space="preserve">scale interaction in a deep learning model.</w:t>
      </w:r>
    </w:p>
    <w:p>
      <w:pPr>
        <w:pStyle w:val="Compact"/>
        <w:numPr>
          <w:numId w:val="1006"/>
          <w:ilvl w:val="0"/>
        </w:numPr>
      </w:pPr>
      <w:r>
        <w:t xml:space="preserve">Seasonal heatwave forecasting with explainable machine learning and remote sensing data.</w:t>
      </w:r>
    </w:p>
    <w:p>
      <w:pPr>
        <w:pStyle w:val="Compact"/>
        <w:numPr>
          <w:numId w:val="1006"/>
          <w:ilvl w:val="0"/>
        </w:numPr>
      </w:pPr>
      <w:r>
        <w:t xml:space="preserve">Skillful subseasonal ensemble predictions of heat wave onsets through better representation of land</w:t>
      </w:r>
      <w:r>
        <w:t xml:space="preserve"> </w:t>
      </w:r>
      <w:r>
        <w:t xml:space="preserve">surface uncertainties.</w:t>
      </w:r>
    </w:p>
    <w:p>
      <w:pPr>
        <w:pStyle w:val="Compact"/>
        <w:numPr>
          <w:numId w:val="1006"/>
          <w:ilvl w:val="0"/>
        </w:numPr>
      </w:pPr>
      <w:r>
        <w:t xml:space="preserve">Precipitation and soil moisture coupling constrains subseasonal predictability of a prolonged extreme</w:t>
      </w:r>
      <w:r>
        <w:t xml:space="preserve"> </w:t>
      </w:r>
      <w:r>
        <w:t xml:space="preserve">heatwave.</w:t>
      </w:r>
    </w:p>
    <w:p>
      <w:pPr>
        <w:pStyle w:val="FirstParagraph"/>
      </w:pPr>
      <w:r>
        <w:rPr>
          <w:b/>
        </w:rPr>
        <w:t xml:space="preserve">Heatwave definitions, indices, and impacts.</w:t>
      </w:r>
    </w:p>
    <w:p>
      <w:pPr>
        <w:pStyle w:val="Compact"/>
        <w:numPr>
          <w:numId w:val="1007"/>
          <w:ilvl w:val="0"/>
        </w:numPr>
      </w:pPr>
      <w:r>
        <w:t xml:space="preserve">Perkins, S. E., and L. V. Alexander, 2013: On the measurement of heat waves.</w:t>
      </w:r>
      <w:r>
        <w:t xml:space="preserve"> </w:t>
      </w:r>
      <w:r>
        <w:rPr>
          <w:i/>
        </w:rPr>
        <w:t xml:space="preserve">J. Climate</w:t>
      </w:r>
      <w:r>
        <w:t xml:space="preserve">,</w:t>
      </w:r>
      <w:r>
        <w:t xml:space="preserve"> </w:t>
      </w:r>
      <w:r>
        <w:rPr>
          <w:b/>
        </w:rPr>
        <w:t xml:space="preserve">26</w:t>
      </w:r>
      <w:r>
        <w:t xml:space="preserve">,</w:t>
      </w:r>
      <w:r>
        <w:t xml:space="preserve"> </w:t>
      </w:r>
      <w:r>
        <w:t xml:space="preserve">4500–4517.</w:t>
      </w:r>
    </w:p>
    <w:p>
      <w:pPr>
        <w:pStyle w:val="Compact"/>
        <w:numPr>
          <w:numId w:val="1007"/>
          <w:ilvl w:val="0"/>
        </w:numPr>
      </w:pPr>
      <w:r>
        <w:t xml:space="preserve">Perkins, S. E., 2015: A review on the scientific understanding of heatwaves—Their measurement, driving</w:t>
      </w:r>
      <w:r>
        <w:t xml:space="preserve"> </w:t>
      </w:r>
      <w:r>
        <w:t xml:space="preserve">mechanisms, and changes at the global scale.</w:t>
      </w:r>
      <w:r>
        <w:t xml:space="preserve"> </w:t>
      </w:r>
      <w:r>
        <w:rPr>
          <w:i/>
        </w:rPr>
        <w:t xml:space="preserve">Atmos. Res.</w:t>
      </w:r>
      <w:r>
        <w:t xml:space="preserve">,</w:t>
      </w:r>
      <w:r>
        <w:t xml:space="preserve"> </w:t>
      </w:r>
      <w:r>
        <w:rPr>
          <w:b/>
        </w:rPr>
        <w:t xml:space="preserve">164–165</w:t>
      </w:r>
      <w:r>
        <w:t xml:space="preserve">, 242–267.</w:t>
      </w:r>
    </w:p>
    <w:p>
      <w:pPr>
        <w:pStyle w:val="Compact"/>
        <w:numPr>
          <w:numId w:val="1007"/>
          <w:ilvl w:val="0"/>
        </w:numPr>
      </w:pPr>
      <w:r>
        <w:t xml:space="preserve">Perkins-Kirkpatrick, S. E., and S. C. Lewis, 2020: Increasing trends in regional heatwaves.</w:t>
      </w:r>
      <w:r>
        <w:t xml:space="preserve"> </w:t>
      </w:r>
      <w:r>
        <w:rPr>
          <w:i/>
        </w:rPr>
        <w:t xml:space="preserve">Nat.</w:t>
      </w:r>
      <w:r>
        <w:rPr>
          <w:i/>
        </w:rPr>
        <w:t xml:space="preserve"> </w:t>
      </w:r>
      <w:r>
        <w:rPr>
          <w:i/>
        </w:rPr>
        <w:t xml:space="preserve">Commun.</w:t>
      </w:r>
      <w:r>
        <w:t xml:space="preserve">,</w:t>
      </w:r>
      <w:r>
        <w:t xml:space="preserve"> </w:t>
      </w:r>
      <w:r>
        <w:rPr>
          <w:b/>
        </w:rPr>
        <w:t xml:space="preserve">11</w:t>
      </w:r>
      <w:r>
        <w:t xml:space="preserve">, 3357.</w:t>
      </w:r>
    </w:p>
    <w:p>
      <w:pPr>
        <w:pStyle w:val="Compact"/>
        <w:numPr>
          <w:numId w:val="1007"/>
          <w:ilvl w:val="0"/>
        </w:numPr>
      </w:pPr>
      <w:r>
        <w:t xml:space="preserve">Nairn, J. R., and R. J. B. Fawcett, 2015: The excess heat factor: A metric for heatwave intensity and</w:t>
      </w:r>
      <w:r>
        <w:t xml:space="preserve"> </w:t>
      </w:r>
      <w:r>
        <w:t xml:space="preserve">its use in classifying heatwave severity.</w:t>
      </w:r>
      <w:r>
        <w:t xml:space="preserve"> </w:t>
      </w:r>
      <w:r>
        <w:rPr>
          <w:i/>
        </w:rPr>
        <w:t xml:space="preserve">Int. J. Environ. Res. Public Health</w:t>
      </w:r>
      <w:r>
        <w:t xml:space="preserve">,</w:t>
      </w:r>
      <w:r>
        <w:t xml:space="preserve"> </w:t>
      </w:r>
      <w:r>
        <w:rPr>
          <w:b/>
        </w:rPr>
        <w:t xml:space="preserve">12</w:t>
      </w:r>
      <w:r>
        <w:t xml:space="preserve">, 227–253.</w:t>
      </w:r>
    </w:p>
    <w:p>
      <w:pPr>
        <w:pStyle w:val="Compact"/>
        <w:numPr>
          <w:numId w:val="1007"/>
          <w:ilvl w:val="0"/>
        </w:numPr>
      </w:pPr>
      <w:r>
        <w:t xml:space="preserve">Quantifying excess deaths related to heatwaves under climate change scenarios: A multicountry time</w:t>
      </w:r>
      <w:r>
        <w:t xml:space="preserve"> </w:t>
      </w:r>
      <w:r>
        <w:t xml:space="preserve">series modelling study.</w:t>
      </w:r>
    </w:p>
    <w:p>
      <w:pPr>
        <w:pStyle w:val="FirstParagraph"/>
      </w:pPr>
      <w:r>
        <w:rPr>
          <w:b/>
        </w:rPr>
        <w:t xml:space="preserve">Regional climate of Vietnam</w:t>
      </w:r>
      <w:r>
        <w:t xml:space="preserve"> </w:t>
      </w:r>
      <w:r>
        <w:rPr>
          <w:i/>
        </w:rPr>
        <w:t xml:space="preserve">(to be completed by the authors).</w:t>
      </w:r>
    </w:p>
    <w:p>
      <w:pPr>
        <w:pStyle w:val="Compact"/>
        <w:numPr>
          <w:numId w:val="1008"/>
          <w:ilvl w:val="0"/>
        </w:numPr>
      </w:pPr>
      <w:r>
        <w:t xml:space="preserve">Phan-Van, T., and Coauthors, 2009: Regional climate modelling over Vietnam.</w:t>
      </w:r>
    </w:p>
    <w:p>
      <w:pPr>
        <w:pStyle w:val="Compact"/>
        <w:numPr>
          <w:numId w:val="1008"/>
          <w:ilvl w:val="0"/>
        </w:numPr>
      </w:pPr>
      <w:r>
        <w:t xml:space="preserve">Ngo-Duc, T., and Coauthors, 2017: Trends in extreme temperature and precipitation indices over</w:t>
      </w:r>
      <w:r>
        <w:t xml:space="preserve"> </w:t>
      </w:r>
      <w:r>
        <w:t xml:space="preserve">Vietnam / Southeast Asia.</w:t>
      </w:r>
    </w:p>
    <w:sectPr/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abstractNum w:abstractNumId="990">
    <w:nsid w:val="ff3381c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abstractNum w:abstractNumId="99411">
    <w:nsid w:val="3317edfd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</w:abstractNum>
  <w:abstractNum w:abstractNumId="991">
    <w:nsid w:val="f61d175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2026-09-29T14:54:49Z</dcterms:created>
  <dcterms:modified xsi:type="dcterms:W3CDTF">2026-09-29T14:54:49Z</dcterms:modified>
</cp:coreProperties>
</file>